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72" w:rsidRPr="00FE7072" w:rsidRDefault="00FE7072" w:rsidP="00FE7072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FE7072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ПЕРЕЧЕНЬ АДМИНИСТРАТИВНЫХ ПРОЦЕДУР, ОСУЩЕСТВЛЯЕМЫХ ПО ЗАЯВЛЕНИЯМ СУБЪЕКТОВ ХОЗЯЙСТВОВАНИЯ, И РЕГЛАМЕНТЫ</w:t>
      </w:r>
      <w:bookmarkStart w:id="0" w:name="_GoBack"/>
      <w:bookmarkEnd w:id="0"/>
    </w:p>
    <w:p w:rsidR="00FE7072" w:rsidRPr="00FE7072" w:rsidRDefault="00FE7072" w:rsidP="00FE7072">
      <w:pPr>
        <w:shd w:val="clear" w:color="auto" w:fill="FBFBFB"/>
        <w:spacing w:after="240" w:line="378" w:lineRule="atLeast"/>
        <w:jc w:val="center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Постановлением Совета Министров Республики Беларусь от 24 сентября 2021 г. № 548 «Об административных процедурах, осуществляемых в отношении субъектов хозяйствования» утвержден </w:t>
      </w:r>
      <w:hyperlink r:id="rId5" w:anchor="%D0%97%D0%B0%D0%B3_%D0%A3%D1%82%D0%B2_1" w:history="1">
        <w:r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Единый перечень</w:t>
        </w:r>
      </w:hyperlink>
      <w:r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</w:t>
      </w:r>
      <w:r w:rsidRPr="00FE7072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>административных процедур, осуществляемых в отношении субъектов хозяйствования</w:t>
      </w:r>
    </w:p>
    <w:p w:rsidR="00FE7072" w:rsidRPr="00FE7072" w:rsidRDefault="00FE7072" w:rsidP="00FE7072">
      <w:pPr>
        <w:shd w:val="clear" w:color="auto" w:fill="FBFBFB"/>
        <w:spacing w:line="378" w:lineRule="atLeast"/>
        <w:jc w:val="center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proofErr w:type="gramStart"/>
      <w:r w:rsidRPr="00FE7072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 xml:space="preserve">Административные процедуры, осуществляемые </w:t>
      </w:r>
      <w:r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>Мстиславским районным исполнительны</w:t>
      </w:r>
      <w:r>
        <w:rPr>
          <w:rFonts w:ascii="Roboto" w:eastAsia="Times New Roman" w:hAnsi="Roboto" w:cs="Times New Roman" w:hint="eastAsia"/>
          <w:b/>
          <w:bCs/>
          <w:color w:val="242424"/>
          <w:sz w:val="27"/>
          <w:szCs w:val="27"/>
          <w:lang w:eastAsia="ru-RU"/>
        </w:rPr>
        <w:t>м</w:t>
      </w:r>
      <w:r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 xml:space="preserve"> комитетом</w:t>
      </w:r>
      <w:r w:rsidRPr="00FE7072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 xml:space="preserve"> в отношении субъектов хозяйствования</w:t>
      </w:r>
      <w:r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br/>
        <w:t>(п. 5.8.</w:t>
      </w:r>
      <w:proofErr w:type="gramEnd"/>
      <w:r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 xml:space="preserve"> Государственная регистрация колесного трактора, прицепа к нему, самоходной машины, п. 5.11. </w:t>
      </w:r>
      <w:proofErr w:type="gramStart"/>
      <w:r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Государственный технический осмотр колесного трактора, прицепа к нему, самоходной машины)</w:t>
      </w:r>
      <w:proofErr w:type="gramEnd"/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1"/>
        <w:gridCol w:w="6244"/>
        <w:gridCol w:w="4720"/>
      </w:tblGrid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Номер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330" w:type="dxa"/>
              <w:bottom w:w="120" w:type="dxa"/>
              <w:right w:w="30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330" w:type="dxa"/>
              <w:bottom w:w="120" w:type="dxa"/>
              <w:right w:w="30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lastRenderedPageBreak/>
              <w:t>5.8.1.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>Государственная регистрация машины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 рабочих дней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, а в случае необходимости выезда по месту нахождения колесного трактора, прицепа к нему, самоходной машины – 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8 рабочих дней</w:t>
            </w:r>
          </w:p>
        </w:tc>
      </w:tr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5.8.2.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>Внесение изменения в документы, связанные с государственной регистрацией машины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3 рабочих дня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, а в случае необходимости выезда по месту нахождения колесного трактора, прицепа к нему, самоходной машины – 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 рабочих дней</w:t>
            </w:r>
          </w:p>
        </w:tc>
      </w:tr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5.8.3.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>Получение свидетельства о регистрации машины и (или) регистрационного знака взамен утраченного (похищенного) или пришедшего в негодность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3 рабочих дня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, а в случае необходимости выезда по месту нахождения колесного трактора, прицепа к нему, самоходной машины – 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 рабочих дней</w:t>
            </w:r>
          </w:p>
        </w:tc>
      </w:tr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5.8.4.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 xml:space="preserve">Получение акта осмотра машины для снятия ее с учета в случае невозможности представить машину на осмотр либо для оформления паспорта самоходной машины 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lastRenderedPageBreak/>
              <w:t>и других видов техники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lastRenderedPageBreak/>
              <w:t>3 рабочих дня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 xml:space="preserve">, а в случае необходимости выезда по месту нахождения колесного трактора, прицепа к нему, самоходной 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lastRenderedPageBreak/>
              <w:t>машины – 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 рабочих дней</w:t>
            </w:r>
          </w:p>
        </w:tc>
      </w:tr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lastRenderedPageBreak/>
              <w:t>5.8.5.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>Снятие машины с учета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3 рабочих дня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, а в случае необходимости выезда по месту нахождения колесного трактора, прицепа к нему, самоходной машины – 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 рабочих дней</w:t>
            </w:r>
          </w:p>
        </w:tc>
      </w:tr>
      <w:tr w:rsidR="00FE7072" w:rsidRPr="00FE7072" w:rsidTr="00FE7072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5.11.1.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3"/>
                <w:szCs w:val="23"/>
                <w:lang w:eastAsia="ru-RU"/>
              </w:rPr>
              <w:t>Государственный технический осмотр колесного трактора, прицепа к нему, самоходной машины с получением разрешения на допуск к участию в дорожном движении колесного трактора, прицепа к нему, самоходной машины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FE7072" w:rsidRPr="00FE7072" w:rsidRDefault="00FE7072" w:rsidP="00FE7072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в день обращения</w:t>
            </w:r>
            <w:r w:rsidRPr="00FE7072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, а в случае необходимости выезда по месту нахождения колесного трактора, прицепа к нему и самоходной машины – </w:t>
            </w:r>
            <w:r w:rsidRPr="00FE7072">
              <w:rPr>
                <w:rFonts w:ascii="Open Sans" w:eastAsia="Times New Roman" w:hAnsi="Open Sans" w:cs="Times New Roman"/>
                <w:b/>
                <w:bCs/>
                <w:color w:val="242424"/>
                <w:sz w:val="21"/>
                <w:szCs w:val="21"/>
                <w:lang w:eastAsia="ru-RU"/>
              </w:rPr>
              <w:t>5 рабочих дней со дня обращения</w:t>
            </w:r>
          </w:p>
        </w:tc>
      </w:tr>
    </w:tbl>
    <w:p w:rsidR="00FE7072" w:rsidRPr="00FE7072" w:rsidRDefault="00FE7072" w:rsidP="00FE7072">
      <w:pPr>
        <w:shd w:val="clear" w:color="auto" w:fill="FBFBFB"/>
        <w:spacing w:after="240" w:line="378" w:lineRule="atLeast"/>
        <w:jc w:val="center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FE7072">
        <w:rPr>
          <w:rFonts w:ascii="Roboto" w:eastAsia="Times New Roman" w:hAnsi="Roboto" w:cs="Times New Roman"/>
          <w:b/>
          <w:bCs/>
          <w:color w:val="242424"/>
          <w:sz w:val="27"/>
          <w:szCs w:val="27"/>
          <w:lang w:eastAsia="ru-RU"/>
        </w:rPr>
        <w:t>Регламенты административных процедур</w:t>
      </w:r>
      <w:r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утверждены Постановлением Министерства сельского хозяйства и продовольствия Республики Беларусь от 6 апреля 2022 г. № 35 «Об утверждении регламентов административных процедур»</w:t>
      </w:r>
    </w:p>
    <w:p w:rsidR="00FE7072" w:rsidRPr="00FE7072" w:rsidRDefault="00183C1E" w:rsidP="00FE7072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hyperlink r:id="rId6" w:anchor="%D0%97%D0%B0%D0%B3_%D0%A3%D1%82%D0%B2_1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Регламент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административной процедуры, осуществляемой в отношении субъектов хозяйствования, по подпункту</w:t>
      </w:r>
      <w:hyperlink r:id="rId7" w:anchor="podpunkt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vertAlign w:val="superscript"/>
            <w:lang w:eastAsia="ru-RU"/>
          </w:rPr>
          <w:t>1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5.8.1 «Государственная регистрация машины» (прилагается);</w:t>
      </w:r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br/>
      </w:r>
      <w:hyperlink r:id="rId8" w:anchor="%D0%97%D0%B0%D0%B3_%D0%A3%D1%82%D0%B2_2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Регламент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административной процедуры, осуществляемой в отношении субъектов хозяйствования, по подпункту 5.8.2 «Внесение изменения в документы, связанные с государственной регистрацией машины» (прилагается);</w:t>
      </w:r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br/>
      </w:r>
      <w:hyperlink r:id="rId9" w:anchor="%D0%97%D0%B0%D0%B3_%D0%A3%D1%82%D0%B2_3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Регламент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административной процедуры, осуществляемой в отношении субъектов хозяйствования, по подпункту 5.8.3 «Получение свидетельства о регистрации машины и (или) регистрационного знака взамен утраченного (похищенного) или пришедшего в негодность» (прилагается);</w:t>
      </w:r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br/>
      </w:r>
      <w:hyperlink r:id="rId10" w:anchor="%D0%97%D0%B0%D0%B3_%D0%A3%D1%82%D0%B2_4" w:history="1">
        <w:proofErr w:type="gramStart"/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Регламент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административной процедуры, осуществляемой в отношении субъектов хозяйствования, по подпункту 5.8.4 «Получение акта осмотра машины для снятия ее с учета в случае невозможности представить машину на осмотр либо для оформления паспорта самоходной машины и других видов техники» (прилагается);</w:t>
      </w:r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br/>
      </w:r>
      <w:hyperlink r:id="rId11" w:anchor="%D0%97%D0%B0%D0%B3_%D0%A3%D1%82%D0%B2_5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Регламент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административной процедуры, осуществляемой в отношении субъектов хозяйствования, по подпункту 5.8.5 «Снятие машины с учета» (прилагается);</w:t>
      </w:r>
      <w:proofErr w:type="gramEnd"/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br/>
      </w:r>
      <w:hyperlink r:id="rId12" w:anchor="%D0%97%D0%B0%D0%B3_%D0%A3%D1%82%D0%B2_6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Регламент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административной процедуры, осуществляемой в отношении субъектов хозяйствования, по подпункту 5.11.1 «Государственный технический осмотр колесного трактора, прицепа к нему, самоходной машины с получением разрешения на допуск к участию в дорожном движении колесного трактора, прицепа к нему, самоходной машины» (прилагается).</w:t>
      </w:r>
    </w:p>
    <w:p w:rsidR="00FE7072" w:rsidRPr="00FE7072" w:rsidRDefault="00183C1E" w:rsidP="00FE7072">
      <w:pPr>
        <w:shd w:val="clear" w:color="auto" w:fill="FBFBFB"/>
        <w:spacing w:before="450" w:after="450" w:line="240" w:lineRule="auto"/>
        <w:rPr>
          <w:rFonts w:ascii="Open Sans" w:eastAsia="Times New Roman" w:hAnsi="Open Sans" w:cs="Times New Roman"/>
          <w:color w:val="222222"/>
          <w:sz w:val="15"/>
          <w:szCs w:val="15"/>
          <w:lang w:eastAsia="ru-RU"/>
        </w:rPr>
      </w:pPr>
      <w:r>
        <w:rPr>
          <w:rFonts w:ascii="Open Sans" w:eastAsia="Times New Roman" w:hAnsi="Open Sans" w:cs="Times New Roman"/>
          <w:color w:val="222222"/>
          <w:sz w:val="15"/>
          <w:szCs w:val="15"/>
          <w:lang w:eastAsia="ru-RU"/>
        </w:rPr>
        <w:pict>
          <v:rect id="_x0000_i1025" style="width:0;height:.75pt" o:hralign="center" o:hrstd="t" o:hr="t" fillcolor="#a0a0a0" stroked="f"/>
        </w:pict>
      </w:r>
    </w:p>
    <w:p w:rsidR="00FE7072" w:rsidRPr="00FE7072" w:rsidRDefault="00183C1E" w:rsidP="00FE7072">
      <w:pPr>
        <w:shd w:val="clear" w:color="auto" w:fill="FBFBFB"/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hyperlink r:id="rId13" w:anchor="podpunkt1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vertAlign w:val="superscript"/>
            <w:lang w:eastAsia="ru-RU"/>
          </w:rPr>
          <w:t>1</w:t>
        </w:r>
        <w:proofErr w:type="gramStart"/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Д</w:t>
      </w:r>
      <w:proofErr w:type="gramEnd"/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ля целей настоящего постановления под подпунктом понимается подпункт пункта </w:t>
      </w:r>
      <w:hyperlink r:id="rId14" w:anchor="%D0%97%D0%B0%D0%B3_%D0%A3%D1%82%D0%B2_1" w:history="1">
        <w:r w:rsidR="00FE7072" w:rsidRPr="00FE7072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единого перечня</w:t>
        </w:r>
      </w:hyperlink>
      <w:r w:rsidR="00FE7072" w:rsidRPr="00FE7072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548.</w:t>
      </w:r>
    </w:p>
    <w:p w:rsidR="00CA2C9E" w:rsidRDefault="00CA2C9E"/>
    <w:sectPr w:rsidR="00CA2C9E" w:rsidSect="00183C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72"/>
    <w:rsid w:val="00183C1E"/>
    <w:rsid w:val="00CA2C9E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7175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w22238019" TargetMode="External"/><Relationship Id="rId13" Type="http://schemas.openxmlformats.org/officeDocument/2006/relationships/hyperlink" Target="https://minsktrans.by/inspekcziya-gostehnadzora/perechen-administrativnyh-proczedur-osushhestvlyaemyh-po-zayavleniyam-subektov-hozyajstvovaniya-i-regla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ktrans.by/inspekcziya-gostehnadzora/perechen-administrativnyh-proczedur-osushhestvlyaemyh-po-zayavleniyam-subektov-hozyajstvovaniya-i-reglamenty/" TargetMode="External"/><Relationship Id="rId12" Type="http://schemas.openxmlformats.org/officeDocument/2006/relationships/hyperlink" Target="https://etalonline.by/document/?regnum=w2223801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talonline.by/document/?regnum=w22238019" TargetMode="External"/><Relationship Id="rId11" Type="http://schemas.openxmlformats.org/officeDocument/2006/relationships/hyperlink" Target="https://etalonline.by/document/?regnum=w22238019" TargetMode="External"/><Relationship Id="rId5" Type="http://schemas.openxmlformats.org/officeDocument/2006/relationships/hyperlink" Target="https://etalonline.by/document/?regnum=c221005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talonline.by/document/?regnum=w22238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document/?regnum=w22238019" TargetMode="External"/><Relationship Id="rId14" Type="http://schemas.openxmlformats.org/officeDocument/2006/relationships/hyperlink" Target="https://etalonline.by/webnpa/text.asp?RN=C221005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2024-08-31T04:50:00Z</dcterms:created>
  <dcterms:modified xsi:type="dcterms:W3CDTF">2024-09-03T06:16:00Z</dcterms:modified>
</cp:coreProperties>
</file>