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50" w:rsidRPr="00546450" w:rsidRDefault="00546450" w:rsidP="00546450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546450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ОБМЕН СВИДЕТЕЛЬСТВА О РЕГИСТРАЦИИ (АДМИНИСТРАТИВНАЯ ПРОЦЕДУРА 15.32)</w:t>
      </w:r>
    </w:p>
    <w:p w:rsidR="00546450" w:rsidRPr="00546450" w:rsidRDefault="00546450" w:rsidP="00546450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Внесение изменений в регистрационные документы осуществляется в случаях:</w:t>
      </w:r>
    </w:p>
    <w:p w:rsidR="00546450" w:rsidRPr="00546450" w:rsidRDefault="00546450" w:rsidP="00546450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внесения изменений в конструкцию машины, влекущих изменение типа и (или) назначения (специализации) машины;</w:t>
      </w:r>
    </w:p>
    <w:p w:rsidR="00546450" w:rsidRPr="00546450" w:rsidRDefault="00546450" w:rsidP="00546450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замены двигателя на двигатель другой марки;</w:t>
      </w:r>
    </w:p>
    <w:p w:rsidR="00546450" w:rsidRPr="00546450" w:rsidRDefault="00546450" w:rsidP="00546450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переименования, реорганизации, изменения места нахождения юридического лица (филиала, представительства и другого обособленного подразделения), изменения места жительства физического лица (индивидуального предпринимателя) в пределах территории, обслуживаемой уполномоченным органом;</w:t>
      </w:r>
    </w:p>
    <w:p w:rsidR="00546450" w:rsidRPr="00546450" w:rsidRDefault="00546450" w:rsidP="00546450">
      <w:pPr>
        <w:numPr>
          <w:ilvl w:val="0"/>
          <w:numId w:val="1"/>
        </w:numPr>
        <w:shd w:val="clear" w:color="auto" w:fill="FBFBFB"/>
        <w:spacing w:before="100" w:beforeAutospacing="1"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изменения фамилии, собственного имени или отчества (если таковое имеется) физического лица (индивидуального предпринимателя).</w:t>
      </w:r>
    </w:p>
    <w:p w:rsidR="00546450" w:rsidRPr="00546450" w:rsidRDefault="00546450" w:rsidP="00546450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По требованию собственника на высвободившиеся вследствие замены номерные агрегаты ему выдается справка соответствующей формы.</w:t>
      </w:r>
    </w:p>
    <w:p w:rsidR="00546450" w:rsidRPr="00546450" w:rsidRDefault="00546450" w:rsidP="00546450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Внесение изменений в свидетельство о регистрации в отношении физических лиц осуществляется на основании заявления с представлением документов и (или) сведений, необходимых для осуществления административной процедуры.</w:t>
      </w:r>
    </w:p>
    <w:p w:rsidR="00546450" w:rsidRPr="00546450" w:rsidRDefault="00546450" w:rsidP="00546450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lastRenderedPageBreak/>
        <w:t>Внесение изменений в регистрационные документы при установке двигателей на машины других моделей разрешается в том случае, если заводом-изготовителем выпускаются (выпускались) машины в данной комплектации или по разрешению завода-изготовителя машины.</w:t>
      </w:r>
    </w:p>
    <w:p w:rsidR="00546450" w:rsidRPr="00546450" w:rsidRDefault="00546450" w:rsidP="00546450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Для совершения регистрационных действий в уполномоченный орган представляется машина собственником или его представителем для сверки учетных данных и сведений о машине с данными предъявленных документов (статья 24 Правил).</w:t>
      </w:r>
    </w:p>
    <w:p w:rsidR="00546450" w:rsidRPr="00546450" w:rsidRDefault="00546450" w:rsidP="00546450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Заинтересованное лицо, предоставившее машину для сверки учетных данных, обязано обеспечить доступ к месту нанесения заводского (серийного, идентификационного) номера и очистить его от загрязнений и коррозии.</w:t>
      </w:r>
    </w:p>
    <w:p w:rsidR="00546450" w:rsidRPr="00546450" w:rsidRDefault="00546450" w:rsidP="00546450">
      <w:pPr>
        <w:shd w:val="clear" w:color="auto" w:fill="FBFBFB"/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proofErr w:type="gramStart"/>
      <w:r w:rsidRPr="00546450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Машина не представляется в уполномоченный орган (для сверки учетных данных и сведений о машине с данными предъявленных документов) в случае внесения изменений в документы, связанные с регистрацией машины, в связи с переименованием, изменением места нахождения юридического лица (филиала, представительства и другого обособленного подразделения), изменением места жительства, фамилии, собственного имени или отчества физического лица (индивидуального предпринимателя).</w:t>
      </w:r>
      <w:proofErr w:type="gramEnd"/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15.32.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t>Обмен (выдача взамен технического паспорта) свидетельства о регистрации колесного трактора, прицепа к нему, самоходной машины в случае внесения изменений в документы, связанные с государственной регистрацией колесного трактора, прицепа к нему и самоходной машины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заявление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или иной документ, удостоверяющий личность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справка о регистрации по месту пребывания – для военнослужащего и членов его семьи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колесного трактора, прицепа к нему и самоходной машины (технический паспорт)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изменение фамилии, собственного имени, отчества собственника, – в случае изменения фамилии, собственного имени, отчества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документ, подтверждающий приобретение двигателя, – в случае замены двигателя</w:t>
            </w: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br/>
              <w:t>на колесном тракторе, самоходной машине на двигатель другой марки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заключение о проверке безопасности конструкции – в случаях внесения изменений</w:t>
            </w: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br/>
            </w: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в конструкцию колесного трактора, прицепа к нему и самоходной машины, влекущих изменение их типа и (или) назначения (специализации), и (или) замены двигателя на двигатель другой марки (не представляется, если соответствующие изменения были внесены в электронный паспорт самоходной машины и других видов техники)</w:t>
            </w:r>
            <w:proofErr w:type="gramEnd"/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копия документа об оценке соответствия внесенных в конструкцию колесного трактора, прицепа к нему и самоходной машины изменений требованиям соответствующих технических регламентов Таможенного союза –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(не представляется, если соответствующие изменения были внесены в электронный паспорт самоходной машины и других видов техники)</w:t>
            </w:r>
            <w:proofErr w:type="gramEnd"/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копия эксплуатационной документации – в случае установки на колесный трактор, прицеп к нему и самоходную машину компонентов, предусмотренных изготовителем машины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копия документации изготовителя компонентов – в случае установки на колесный трактор, прицеп к нему и самоходную машину компонентов, прошедших оценку соответствия требованиям соответствующих технических регламентов Таможенного союза в составе данного колесного трактора, прицепа к нему и самоходной машины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акт либо уведомление о передаче права собственности на предмет лизинга – в случае перехода права собственности лизингополучателю после исполнения лизинговых обязательств</w:t>
            </w:r>
          </w:p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внесение платы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1 базовая величина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      </w:r>
          </w:p>
        </w:tc>
      </w:tr>
      <w:tr w:rsidR="00546450" w:rsidRPr="00546450" w:rsidTr="00546450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46450" w:rsidRPr="00546450" w:rsidRDefault="00546450" w:rsidP="00546450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выдаваемых</w:t>
            </w:r>
            <w:proofErr w:type="gramEnd"/>
            <w:r w:rsidRPr="00546450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 (принимаемого) при осуществлении административной процедуры</w:t>
            </w:r>
            <w:r w:rsidRPr="00546450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бессрочно</w:t>
            </w:r>
          </w:p>
        </w:tc>
      </w:tr>
    </w:tbl>
    <w:p w:rsidR="00D832DF" w:rsidRDefault="00D832DF">
      <w:bookmarkStart w:id="0" w:name="_GoBack"/>
      <w:bookmarkEnd w:id="0"/>
    </w:p>
    <w:sectPr w:rsidR="00D832DF" w:rsidSect="005464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97E9B"/>
    <w:multiLevelType w:val="multilevel"/>
    <w:tmpl w:val="A6B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50"/>
    <w:rsid w:val="00546450"/>
    <w:rsid w:val="00D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7472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2024-08-31T05:16:00Z</dcterms:created>
  <dcterms:modified xsi:type="dcterms:W3CDTF">2024-08-31T05:16:00Z</dcterms:modified>
</cp:coreProperties>
</file>