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94" w:rsidRPr="00C41894" w:rsidRDefault="00C41894" w:rsidP="00C41894">
      <w:pPr>
        <w:shd w:val="clear" w:color="auto" w:fill="FBFBFB"/>
        <w:spacing w:after="525" w:line="810" w:lineRule="atLeast"/>
        <w:outlineLvl w:val="0"/>
        <w:rPr>
          <w:rFonts w:ascii="Roboto" w:eastAsia="Times New Roman" w:hAnsi="Roboto" w:cs="Times New Roman"/>
          <w:b/>
          <w:bCs/>
          <w:caps/>
          <w:color w:val="000000"/>
          <w:kern w:val="36"/>
          <w:sz w:val="60"/>
          <w:szCs w:val="60"/>
          <w:lang w:eastAsia="ru-RU"/>
        </w:rPr>
      </w:pPr>
      <w:r w:rsidRPr="00C41894">
        <w:rPr>
          <w:rFonts w:ascii="Roboto" w:eastAsia="Times New Roman" w:hAnsi="Roboto" w:cs="Times New Roman"/>
          <w:b/>
          <w:bCs/>
          <w:caps/>
          <w:color w:val="000000"/>
          <w:kern w:val="36"/>
          <w:sz w:val="60"/>
          <w:szCs w:val="60"/>
          <w:lang w:eastAsia="ru-RU"/>
        </w:rPr>
        <w:t>СНЯТИЕ С УЧЕТА КОЛЕСНОГО ТРАКТОРА (АДМИНИСТРАТИВНАЯ ПРОЦЕДУРА 15.35)</w:t>
      </w:r>
    </w:p>
    <w:p w:rsidR="00C41894" w:rsidRPr="00C41894" w:rsidRDefault="00C41894" w:rsidP="00C41894">
      <w:pPr>
        <w:shd w:val="clear" w:color="auto" w:fill="FBFBFB"/>
        <w:spacing w:after="240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C41894">
        <w:rPr>
          <w:rFonts w:ascii="Roboto" w:eastAsia="Times New Roman" w:hAnsi="Roboto" w:cs="Times New Roman"/>
          <w:b/>
          <w:bCs/>
          <w:color w:val="242424"/>
          <w:sz w:val="27"/>
          <w:szCs w:val="27"/>
          <w:lang w:eastAsia="ru-RU"/>
        </w:rPr>
        <w:t>Машины подлежат снятию с учета</w:t>
      </w:r>
      <w:r w:rsidRPr="00C41894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 в уполномоченном органе по месту регистрации в случаях:</w:t>
      </w:r>
    </w:p>
    <w:p w:rsidR="00C41894" w:rsidRPr="00C41894" w:rsidRDefault="00C41894" w:rsidP="00C41894">
      <w:pPr>
        <w:numPr>
          <w:ilvl w:val="0"/>
          <w:numId w:val="1"/>
        </w:numPr>
        <w:shd w:val="clear" w:color="auto" w:fill="FBFBFB"/>
        <w:spacing w:before="100" w:beforeAutospacing="1" w:after="240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C41894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изменения места жительства (юридического адреса) собственника, связанного с убытием за пределы территории, обслуживаемой уполномоченным органом;</w:t>
      </w:r>
    </w:p>
    <w:p w:rsidR="00C41894" w:rsidRPr="00C41894" w:rsidRDefault="00C41894" w:rsidP="00C41894">
      <w:pPr>
        <w:numPr>
          <w:ilvl w:val="0"/>
          <w:numId w:val="1"/>
        </w:numPr>
        <w:shd w:val="clear" w:color="auto" w:fill="FBFBFB"/>
        <w:spacing w:before="100" w:beforeAutospacing="1" w:after="240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C41894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отчуждения машины (прекращения права собственности);</w:t>
      </w:r>
    </w:p>
    <w:p w:rsidR="00C41894" w:rsidRPr="00C41894" w:rsidRDefault="00C41894" w:rsidP="00C41894">
      <w:pPr>
        <w:numPr>
          <w:ilvl w:val="0"/>
          <w:numId w:val="1"/>
        </w:numPr>
        <w:shd w:val="clear" w:color="auto" w:fill="FBFBFB"/>
        <w:spacing w:before="100" w:beforeAutospacing="1" w:after="240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C41894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списания (выбраковки) машины;</w:t>
      </w:r>
    </w:p>
    <w:p w:rsidR="00C41894" w:rsidRPr="00C41894" w:rsidRDefault="00C41894" w:rsidP="00C41894">
      <w:pPr>
        <w:numPr>
          <w:ilvl w:val="0"/>
          <w:numId w:val="1"/>
        </w:numPr>
        <w:shd w:val="clear" w:color="auto" w:fill="FBFBFB"/>
        <w:spacing w:before="100" w:beforeAutospacing="1" w:after="240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C41894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решения суда;</w:t>
      </w:r>
    </w:p>
    <w:p w:rsidR="00C41894" w:rsidRPr="00C41894" w:rsidRDefault="00C41894" w:rsidP="00C41894">
      <w:pPr>
        <w:numPr>
          <w:ilvl w:val="0"/>
          <w:numId w:val="1"/>
        </w:numPr>
        <w:shd w:val="clear" w:color="auto" w:fill="FBFBFB"/>
        <w:spacing w:before="100" w:beforeAutospacing="1" w:after="240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C41894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постановления судебного исполнителя.</w:t>
      </w:r>
    </w:p>
    <w:p w:rsidR="00C41894" w:rsidRPr="00C41894" w:rsidRDefault="00C41894" w:rsidP="00C41894">
      <w:pPr>
        <w:shd w:val="clear" w:color="auto" w:fill="FBFBFB"/>
        <w:spacing w:after="240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C41894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Снятие с учета машин физическими лицами осуществляется на основании заявления с приложением документов и (или) сведений, представляемых гражданином для осуществления административной процедуры.</w:t>
      </w:r>
    </w:p>
    <w:p w:rsidR="00C41894" w:rsidRPr="00C41894" w:rsidRDefault="00C41894" w:rsidP="00C41894">
      <w:pPr>
        <w:shd w:val="clear" w:color="auto" w:fill="FBFBFB"/>
        <w:spacing w:after="240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C41894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В случае</w:t>
      </w:r>
      <w:proofErr w:type="gramStart"/>
      <w:r w:rsidRPr="00C41894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,</w:t>
      </w:r>
      <w:proofErr w:type="gramEnd"/>
      <w:r w:rsidRPr="00C41894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 xml:space="preserve"> если свидетельство о регистрации (технический талон, технический паспорт) пришло в негодность либо отсутствует возможность внести в него отметку о снятии с учета, до снятия машины с учета взамен этого документа заинтересованным лицом должно быть получено новое свидетельство о регистрации.</w:t>
      </w:r>
    </w:p>
    <w:p w:rsidR="00C41894" w:rsidRPr="00C41894" w:rsidRDefault="00C41894" w:rsidP="00C41894">
      <w:pPr>
        <w:shd w:val="clear" w:color="auto" w:fill="FBFBFB"/>
        <w:spacing w:after="240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C41894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lastRenderedPageBreak/>
        <w:t>Для совершения регистрационных действий в уполномоченный орган представляется машина собственником или его представителем для сверки учетных данных и сведений о машине с данными предъявленных документов (статья 24 Правил).</w:t>
      </w:r>
    </w:p>
    <w:p w:rsidR="00C41894" w:rsidRPr="00C41894" w:rsidRDefault="00C41894" w:rsidP="00C41894">
      <w:pPr>
        <w:shd w:val="clear" w:color="auto" w:fill="FBFBFB"/>
        <w:spacing w:after="240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C41894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Заинтересованное лицо, предоставившее машину для сверки учетных данных, обязано обеспечить доступ к месту нанесения заводского (серийного, идентификационного) номера и очистить его от загрязнений и коррозии.</w:t>
      </w:r>
    </w:p>
    <w:p w:rsidR="00C41894" w:rsidRPr="00C41894" w:rsidRDefault="00C41894" w:rsidP="00C41894">
      <w:pPr>
        <w:shd w:val="clear" w:color="auto" w:fill="FBFBFB"/>
        <w:spacing w:after="240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C41894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Допускается снятие с учета машины по акту осмотра, составленному уполномоченным органом, а также регистрирующим органом другого государства по месту нахождения машины. Выдача акта осмотра машины физическим лицам осуществляется на основании заявления с представлением документов, указанных в пункте 15.34 перечня административных процедур.</w:t>
      </w:r>
    </w:p>
    <w:p w:rsidR="00C41894" w:rsidRPr="00C41894" w:rsidRDefault="00C41894" w:rsidP="00C41894">
      <w:pPr>
        <w:shd w:val="clear" w:color="auto" w:fill="FBFBFB"/>
        <w:spacing w:after="240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C41894">
        <w:rPr>
          <w:rFonts w:ascii="Roboto" w:eastAsia="Times New Roman" w:hAnsi="Roboto" w:cs="Times New Roman"/>
          <w:b/>
          <w:bCs/>
          <w:color w:val="242424"/>
          <w:sz w:val="27"/>
          <w:szCs w:val="27"/>
          <w:lang w:eastAsia="ru-RU"/>
        </w:rPr>
        <w:t>Машина не представляется в уполномоченный орган</w:t>
      </w:r>
      <w:r w:rsidRPr="00C41894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 (для сверки учетных данных и сведений о машине с данными предъявленных документов)</w:t>
      </w:r>
      <w:r w:rsidRPr="00C41894">
        <w:rPr>
          <w:rFonts w:ascii="Roboto" w:eastAsia="Times New Roman" w:hAnsi="Roboto" w:cs="Times New Roman"/>
          <w:b/>
          <w:bCs/>
          <w:color w:val="242424"/>
          <w:sz w:val="27"/>
          <w:szCs w:val="27"/>
          <w:lang w:eastAsia="ru-RU"/>
        </w:rPr>
        <w:t> в случае:</w:t>
      </w:r>
    </w:p>
    <w:p w:rsidR="00C41894" w:rsidRPr="00C41894" w:rsidRDefault="00C41894" w:rsidP="00C41894">
      <w:pPr>
        <w:numPr>
          <w:ilvl w:val="0"/>
          <w:numId w:val="2"/>
        </w:numPr>
        <w:shd w:val="clear" w:color="auto" w:fill="FBFBFB"/>
        <w:spacing w:before="100" w:beforeAutospacing="1" w:after="240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C41894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снятия с учета машины в связи с выбраковкой;</w:t>
      </w:r>
    </w:p>
    <w:p w:rsidR="00C41894" w:rsidRPr="00C41894" w:rsidRDefault="00C41894" w:rsidP="00C41894">
      <w:pPr>
        <w:numPr>
          <w:ilvl w:val="0"/>
          <w:numId w:val="2"/>
        </w:numPr>
        <w:shd w:val="clear" w:color="auto" w:fill="FBFBFB"/>
        <w:spacing w:before="100" w:beforeAutospacing="1" w:after="240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C41894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снятия с учета похищенной и необнаруженной машины;</w:t>
      </w:r>
    </w:p>
    <w:p w:rsidR="00C41894" w:rsidRPr="00C41894" w:rsidRDefault="00C41894" w:rsidP="00C41894">
      <w:pPr>
        <w:numPr>
          <w:ilvl w:val="0"/>
          <w:numId w:val="2"/>
        </w:numPr>
        <w:shd w:val="clear" w:color="auto" w:fill="FBFBFB"/>
        <w:spacing w:before="100" w:beforeAutospacing="1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C41894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снятия с учета машины в соответствии с частью первой пункта 236 Положения о порядке учета, хранения, оценки и реализации имущества, изъятого, арестованного или обращенного в доход государства.</w:t>
      </w:r>
    </w:p>
    <w:tbl>
      <w:tblPr>
        <w:tblW w:w="136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5"/>
      </w:tblGrid>
      <w:tr w:rsidR="00C41894" w:rsidRPr="00C41894" w:rsidTr="00C41894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41894" w:rsidRPr="00C41894" w:rsidRDefault="00C41894" w:rsidP="00C41894">
            <w:pPr>
              <w:spacing w:after="240" w:line="378" w:lineRule="atLeast"/>
              <w:jc w:val="center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C41894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>Административная процедура 15.35.</w:t>
            </w:r>
          </w:p>
        </w:tc>
      </w:tr>
      <w:tr w:rsidR="00C41894" w:rsidRPr="00C41894" w:rsidTr="00C41894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41894" w:rsidRPr="00C41894" w:rsidRDefault="00C41894" w:rsidP="00C41894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C41894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lang w:eastAsia="ru-RU"/>
              </w:rPr>
              <w:lastRenderedPageBreak/>
              <w:t>Снятие с учета колесного трактора, прицепа к нему и самоходной машины</w:t>
            </w:r>
          </w:p>
        </w:tc>
      </w:tr>
      <w:tr w:rsidR="00C41894" w:rsidRPr="00C41894" w:rsidTr="00C41894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41894" w:rsidRPr="00C41894" w:rsidRDefault="00C41894" w:rsidP="00C41894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C41894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</w:tr>
      <w:tr w:rsidR="00C41894" w:rsidRPr="00C41894" w:rsidTr="00C41894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41894" w:rsidRPr="00C41894" w:rsidRDefault="00C41894" w:rsidP="00C41894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C41894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заявление</w:t>
            </w:r>
          </w:p>
          <w:p w:rsidR="00C41894" w:rsidRPr="00C41894" w:rsidRDefault="00C41894" w:rsidP="00C41894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C41894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паспорт или иной документ, удостоверяющий личность</w:t>
            </w:r>
          </w:p>
          <w:p w:rsidR="00C41894" w:rsidRPr="00C41894" w:rsidRDefault="00C41894" w:rsidP="00C41894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C41894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свидетельство о регистрации колесного трактора, прицепа к нему и самоходной машины (технический паспорт)</w:t>
            </w:r>
          </w:p>
          <w:p w:rsidR="00C41894" w:rsidRPr="00C41894" w:rsidRDefault="00C41894" w:rsidP="00C41894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C41894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регистрационный знак на колесный трактор, прицеп к нему и самоходную машину</w:t>
            </w:r>
          </w:p>
          <w:p w:rsidR="00C41894" w:rsidRPr="00C41894" w:rsidRDefault="00C41894" w:rsidP="00C41894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C41894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паспорт самоходной машины и других видов техники (не представляется при его наличии в системе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Республики Беларусь)</w:t>
            </w:r>
          </w:p>
          <w:p w:rsidR="00C41894" w:rsidRPr="00C41894" w:rsidRDefault="00C41894" w:rsidP="00C41894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C41894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акт осмотра колесного трактора, прицепа к нему и самоходной машины, предусмотренный пунктом 15.34 настоящего перечня или выданный регистрирующими органами иностранных государств, – в случае невозможности представить колесный трактор, прицеп к нему и самоходную машину на осмотр</w:t>
            </w:r>
          </w:p>
          <w:p w:rsidR="00C41894" w:rsidRPr="00C41894" w:rsidRDefault="00C41894" w:rsidP="00C41894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C41894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 xml:space="preserve">копия решения суда – в случае снятия с учета колесного трактора, прицепа к нему и самоходной машины на </w:t>
            </w:r>
            <w:r w:rsidRPr="00C41894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lastRenderedPageBreak/>
              <w:t>основании решения суда</w:t>
            </w:r>
          </w:p>
        </w:tc>
      </w:tr>
      <w:tr w:rsidR="00C41894" w:rsidRPr="00C41894" w:rsidTr="00C41894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41894" w:rsidRPr="00C41894" w:rsidRDefault="00C41894" w:rsidP="00C41894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C41894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</w:tr>
      <w:tr w:rsidR="00C41894" w:rsidRPr="00C41894" w:rsidTr="00C41894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41894" w:rsidRPr="00C41894" w:rsidRDefault="00C41894" w:rsidP="00C41894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C41894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Бесплатно</w:t>
            </w:r>
          </w:p>
        </w:tc>
      </w:tr>
      <w:tr w:rsidR="00C41894" w:rsidRPr="00C41894" w:rsidTr="00C41894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41894" w:rsidRPr="00C41894" w:rsidRDefault="00C41894" w:rsidP="00C41894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C41894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>Максимальный срок осуществления административной процедуры</w:t>
            </w:r>
          </w:p>
        </w:tc>
      </w:tr>
      <w:tr w:rsidR="00C41894" w:rsidRPr="00C41894" w:rsidTr="00C41894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41894" w:rsidRPr="00C41894" w:rsidRDefault="00C41894" w:rsidP="00C41894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C41894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3 рабочих дня со дня подачи заявления, а в случае необходимости выезда по месту нахождения колесного трактора, прицепа к нему и самоходной машины – 5 рабочих дней со дня подачи заявления</w:t>
            </w:r>
          </w:p>
        </w:tc>
      </w:tr>
      <w:tr w:rsidR="00C41894" w:rsidRPr="00C41894" w:rsidTr="00C41894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41894" w:rsidRPr="00C41894" w:rsidRDefault="00C41894" w:rsidP="00C41894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C41894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 xml:space="preserve">Срок действия справки, другого документа (решения), </w:t>
            </w:r>
            <w:proofErr w:type="gramStart"/>
            <w:r w:rsidRPr="00C41894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>выдаваемых</w:t>
            </w:r>
            <w:proofErr w:type="gramEnd"/>
            <w:r w:rsidRPr="00C41894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 xml:space="preserve"> (принимаемого) при осуществлении административной процедуры</w:t>
            </w:r>
            <w:r w:rsidRPr="00C41894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 – бессрочно</w:t>
            </w:r>
          </w:p>
        </w:tc>
      </w:tr>
    </w:tbl>
    <w:p w:rsidR="003E5B6D" w:rsidRDefault="003E5B6D">
      <w:bookmarkStart w:id="0" w:name="_GoBack"/>
      <w:bookmarkEnd w:id="0"/>
    </w:p>
    <w:sectPr w:rsidR="003E5B6D" w:rsidSect="00C418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94EFC"/>
    <w:multiLevelType w:val="multilevel"/>
    <w:tmpl w:val="9EF0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9F5BA9"/>
    <w:multiLevelType w:val="multilevel"/>
    <w:tmpl w:val="68EE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94"/>
    <w:rsid w:val="003E5B6D"/>
    <w:rsid w:val="00C4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6268">
          <w:marLeft w:val="0"/>
          <w:marRight w:val="0"/>
          <w:marTop w:val="0"/>
          <w:marBottom w:val="19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2024-08-31T05:19:00Z</dcterms:created>
  <dcterms:modified xsi:type="dcterms:W3CDTF">2024-08-31T05:20:00Z</dcterms:modified>
</cp:coreProperties>
</file>