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52" w:rsidRPr="00EA0C57" w:rsidRDefault="005F4D52" w:rsidP="00996B54">
      <w:pPr>
        <w:pStyle w:val="2"/>
        <w:pageBreakBefore/>
        <w:ind w:right="0" w:firstLine="0"/>
        <w:jc w:val="center"/>
        <w:rPr>
          <w:b/>
          <w:sz w:val="30"/>
          <w:szCs w:val="30"/>
        </w:rPr>
      </w:pPr>
      <w:r w:rsidRPr="00CD1E5B">
        <w:rPr>
          <w:b/>
          <w:sz w:val="30"/>
          <w:szCs w:val="30"/>
        </w:rPr>
        <w:t>ГРАЖДАНСКОЕ ОБЩЕСТВО В БОРЬБЕ С КОРРУПЦИЕЙ</w:t>
      </w:r>
    </w:p>
    <w:p w:rsidR="005F4D52" w:rsidRPr="00EA0C57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Гражданское общество представляет собой систему независимых от государства общественно-политических институтов, которые участвуют в общественных отношениях (политических, правовых, культурных, идеологических и т.п.), и возникают в рамках реализации гражданами своих прав, свобод и законных интересов. Гражданское общество неразрывно связано с формированием и функционированием правового государства. В то же время данное общество рассматривается как структурно-организационный феномен, способный к саморегулированию и самоорганизации отдельных его членов с целью не только управления государством, но и противодействия коррупции.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В систему институтов гражданского общества обычно включаются следующие элементы: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органы местного самоуправления;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общественные объединения, профсоюзные движения;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политические партии;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коммерческие и некоммерческие организации;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негосударственные правоохранительные институты (например, добровольные дружины);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средства массовой информации.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Само по себе только наличие указанных институтов не позволяет говорить о функционировании полноценного развитого гражданского общества, поскольку если государство, обладая властными полномочиями, не позволяет внедряться в сферу своей деятельности гражданам, контролировать деятельность его механизмов, то таковое общество фактически декларативно.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В национальном законодательстве, в частности в Законе «О борьбе с коррупцией», определены формы участия граждан в борьбе с коррупцией. Общественный контроль в сфере борьбы с коррупцией осуществляется гражданами Республики Беларусь, организациями, в том числе общественными объединениями, в порядке, определенном законодательными актами, постановлениями Совета Министров Республики Беларусь.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формах: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участие в разработке и всенародном (общественном) обсуждении проектов нормативных правовых актов в сфере борьбы с коррупцией;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иные формы такого участия, предусмотренные законодательными актами.</w:t>
      </w:r>
    </w:p>
    <w:p w:rsidR="005F4D52" w:rsidRPr="00A02862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A02862">
        <w:rPr>
          <w:rFonts w:ascii="Times New Roman" w:hAnsi="Times New Roman"/>
          <w:spacing w:val="-2"/>
          <w:sz w:val="30"/>
          <w:szCs w:val="30"/>
        </w:rPr>
        <w:lastRenderedPageBreak/>
        <w:t>Деятельность представителей общественных объединений при осуществлении общественного контроля в сфере борьбы с коррупцией также может реализовываться в следующих формах: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органы, осуществляющие борьбу с коррупцией;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участие в заседаниях коллегий государственных органов, осуществляющих борьбу с коррупцией, координационных совещаний по борьбе с преступностью и коррупцией с правом совещательного голоса;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участие в подготовке проектов нормативных правовых актов, решений органов исполнительной власти и иных документов, затрагивающих права и законные интересы граждан и организаций;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участие в проведении социологических опросов по вопросам противодействия коррупции (ст. 46 Закона «О борьбе с коррупцией»).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Конвенция ООН против коррупции обеспечивает целостный и системный подход к решению проблемы коррупции в государственном и частном секторах экономики, признавая значение как профилактики коррупции, так и юридической ответственности. Конвенция открывает и новые перспективы для гражданского общества, поскольку призывает к участию граждан в совершенствовании механизмов подотчетности, подчеркивая значение доступа граждан к информации в сфере коррупции. В рамках ст. 13 Конвенции определено, что «каждое государство-участник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общин, в предупреждении коррупции и борьбе с ней и для углубления понимания обществом факта существования, причин и опасного характера коррупции, а также создаваемых ею угроз». При этом формы активизации гражданского общества связаны со следующими основными направлениями: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усиление прозрачности и содействие вовлечению населения в процессы принятия решений;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обеспечение эффективного доступа населения к информации;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проведение мероприятий по информированию населения, способствующих созданию атмосферы нетерпимости в отношении коррупции, а также осуществление программ публичного образования, включая учебные программы в школах и университетах;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уважение, поощрение и защита свободы поиска, получения, опубликования и распространения информации о коррупции.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Учитывая указанные выше направления активизации и координации общественных формирований против коррупции в августе 2006 года создана и успешно функционирует Коалиция КООНПК: Всемирная сеть организаций гражданского общества в поддержку </w:t>
      </w:r>
      <w:r w:rsidRPr="00CD1E5B">
        <w:rPr>
          <w:rFonts w:ascii="Times New Roman" w:hAnsi="Times New Roman"/>
          <w:spacing w:val="-2"/>
          <w:sz w:val="30"/>
          <w:szCs w:val="30"/>
        </w:rPr>
        <w:lastRenderedPageBreak/>
        <w:t>Конвенции ООН против коррупции (далее – коалиция). В настоящее время коалиция объединяет более 350 организаций гражданского общества (далее – ОГО) из более чем 100 стран</w:t>
      </w:r>
      <w:r>
        <w:rPr>
          <w:rFonts w:ascii="Times New Roman" w:hAnsi="Times New Roman"/>
          <w:spacing w:val="-2"/>
          <w:sz w:val="30"/>
          <w:szCs w:val="30"/>
        </w:rPr>
        <w:t xml:space="preserve"> мира</w:t>
      </w:r>
      <w:r w:rsidRPr="00CD1E5B">
        <w:rPr>
          <w:rFonts w:ascii="Times New Roman" w:hAnsi="Times New Roman"/>
          <w:spacing w:val="-2"/>
          <w:sz w:val="30"/>
          <w:szCs w:val="30"/>
        </w:rPr>
        <w:t>, которые ставят своей целью продвижение, ратификацию, осуществление Конвенции ООН против коррупции и мониторинг за ходом ее выполнения, в том числе с участием гражданских формирований.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В целях содействия сотрудничеству между ОГО, облегчения идентификации партнеров, присоединения к сети членов гражданского общества коалиция запустила региональные платформы борьбы с коррупцией (африканская, Юго-Восточная Европа, Юго-Восточная Азия). На этих платформах заинтересованные в мониторинге и содействии коалиции ОГО могут повысить их влияние за счет обмена опытом и методологиями мониторинга коррупции, создания партнерских связей и обмена информацией о состоянии обзоров.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В современных реалиях развивающегося мирового пространства, трансформации демократических институтов в обществе объективно изменяются и отношения граждан (общественных организаций, СМИ, профсоюзных движений) и иных элементов гражданского общества с правительством (государством).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В связи с этим и в нашем государстве придается особое внимание работе с гражданами в рамках разрешения различных административных процедур, обращений, функционирования независимых СМИ в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интернет-пространстве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и т.п. Рассмотрим некоторые формы реализации своих правомочий гражданским обществом.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A5C04">
        <w:rPr>
          <w:rFonts w:ascii="Times New Roman" w:hAnsi="Times New Roman"/>
          <w:b/>
          <w:spacing w:val="-2"/>
          <w:sz w:val="30"/>
          <w:szCs w:val="30"/>
        </w:rPr>
        <w:t>Участие граждан в управлении государством.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 Согласно положению Закона «О нормативных правовых актах Республики Беларусь» субъектами нормотворческой инициативы являются, в том числе, и граждане, обладающие избирательным правом, в количестве не менее 50 тыс. человек. Правом законодательной инициативы по вопросу об изменении и дополнении Конституции Республики Беларусь обладают Президент Республики Беларусь или не менее 150 тыс. граждан Республики Беларусь, обладающих избирательным правом.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A5C04">
        <w:rPr>
          <w:rFonts w:ascii="Times New Roman" w:hAnsi="Times New Roman"/>
          <w:b/>
          <w:spacing w:val="-2"/>
          <w:sz w:val="30"/>
          <w:szCs w:val="30"/>
        </w:rPr>
        <w:t>Обращения граждан.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 Законодательством предусмотрено право граждан, юридических лиц на обращение в государственные органы, реализация которого регулируется Законом «Об обращениях граждан и юридических лиц»</w:t>
      </w:r>
      <w:r>
        <w:rPr>
          <w:rFonts w:ascii="Times New Roman" w:hAnsi="Times New Roman"/>
          <w:spacing w:val="-2"/>
          <w:sz w:val="30"/>
          <w:szCs w:val="30"/>
        </w:rPr>
        <w:t xml:space="preserve"> (далее – Закон)</w:t>
      </w:r>
      <w:r w:rsidRPr="00CD1E5B">
        <w:rPr>
          <w:rFonts w:ascii="Times New Roman" w:hAnsi="Times New Roman"/>
          <w:spacing w:val="-2"/>
          <w:sz w:val="30"/>
          <w:szCs w:val="30"/>
        </w:rPr>
        <w:t>. В частности, граждане Республики Беларусь имеют право на обращение в организации путем подачи письменных, электронных или устных обращений, а также путем внесения замечаний и (или) предложений в книгу замечаний и предложений индивидуальных предпринимателей (ст. 3</w:t>
      </w:r>
      <w:r>
        <w:rPr>
          <w:rFonts w:ascii="Times New Roman" w:hAnsi="Times New Roman"/>
          <w:spacing w:val="-2"/>
          <w:sz w:val="30"/>
          <w:szCs w:val="30"/>
        </w:rPr>
        <w:t xml:space="preserve"> Закона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). Онлайновые платформы, такие как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Petitions.by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или 115.бел, позволяют упрощать и ускорять документооборот, что способствует более широкому обсуждению общественно-значимых проблем, в том числе связанных с коррупцией. Тем самым имеет место и оперативное реагирование гражданского общества на возникающие риски коррупционного характера или неразрешенные конфликты интересов.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lastRenderedPageBreak/>
        <w:t xml:space="preserve">Примером такого активного участия может стать обращение гражданина Республики Беларусь в Министерство финансов с предложением «для борьбы с коррупцией и нецелевым расходованием бюджетных средств создать документооборот и расчет на основе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смарт-контрактов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на технологии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блокчейн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>. Тем самым исключая человеческий фактор по распределению средств и выборе подрядчика услуги или поставщика материалов». Другой пример обращения в Администрацию Президента связан с материальным стимулированием выявления взяточников среди чиновников (</w:t>
      </w:r>
      <w:r w:rsidRPr="002A5C04">
        <w:rPr>
          <w:rFonts w:ascii="Times New Roman" w:hAnsi="Times New Roman"/>
          <w:bCs/>
          <w:spacing w:val="-2"/>
          <w:sz w:val="30"/>
          <w:szCs w:val="30"/>
        </w:rPr>
        <w:t>https://petitions.by/petitions/1137</w:t>
      </w:r>
      <w:r w:rsidRPr="00CD1E5B">
        <w:rPr>
          <w:rFonts w:ascii="Times New Roman" w:hAnsi="Times New Roman"/>
          <w:spacing w:val="-2"/>
          <w:sz w:val="30"/>
          <w:szCs w:val="30"/>
        </w:rPr>
        <w:t>).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A5C04">
        <w:rPr>
          <w:rFonts w:ascii="Times New Roman" w:hAnsi="Times New Roman"/>
          <w:b/>
          <w:spacing w:val="-2"/>
          <w:sz w:val="30"/>
          <w:szCs w:val="30"/>
        </w:rPr>
        <w:t>Свобода слова.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 Согласно ст. 33 Конституции Республики Беларусь каждому гарантируется свобода мнений, убеждений и их свободное выражение. Никто не может быть принужден к выражению своих убеждений или отказу от них. Монополизация средств массовой информации государством, общественными объединениями или отдельными гражданами не допускается. Недопустимость незаконного ограничения свободы массовой информации (ст. 7 Закона «О средствах массовой информации») реализуется посредством запрета осуществления цензуры массовой информации, приостановления или прекращения выпуска средства массовой информации с нарушением требований действующего законодательства, принуждения журналиста средства массовой информации к распространению либо отказу от распространения информации и т.п.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Примером такого активного обсуждения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антикоррупционной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кампании, которая проводится в Республике Беларусь, является ее освещение в СМИ и сети Интернет.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>Кроме того, участие общественных объединений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 партий, профессиональных союзов, общественных движений и фондов также направлено на противодействие коррупции в белорусском обществе. Например, Объединенная гражданская партия является либерально-консервативной партией, которая считает, что главной ценностью любого государства является человек с его интересами, желаниями и потребностями. Права и свободы человека имеют приоритет перед интересами государства, которое должно обеспечить и гарантировать участие граждан в управлении государством непосредственно или через своих представителей, а также контролировать деятельность государственных органов. Обсуждения и гражданские инициативы данной партии нередко посвящены вопросам противодействия коррупции, вскрытия фактов коррумпированности чиновников и привлечения последних к ответственности. По данным мировых экспертов, </w:t>
      </w:r>
      <w:r>
        <w:rPr>
          <w:rFonts w:ascii="Times New Roman" w:hAnsi="Times New Roman"/>
          <w:spacing w:val="-2"/>
          <w:sz w:val="30"/>
          <w:szCs w:val="30"/>
        </w:rPr>
        <w:t xml:space="preserve">в 2022 г. 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Республика Беларусь по уровню динамики развития информационно-коммуникационных технологий занимает </w:t>
      </w:r>
      <w:r>
        <w:rPr>
          <w:rFonts w:ascii="Times New Roman" w:hAnsi="Times New Roman"/>
          <w:spacing w:val="-2"/>
          <w:sz w:val="30"/>
          <w:szCs w:val="30"/>
        </w:rPr>
        <w:t>5</w:t>
      </w:r>
      <w:r w:rsidRPr="00CD1E5B">
        <w:rPr>
          <w:rFonts w:ascii="Times New Roman" w:hAnsi="Times New Roman"/>
          <w:spacing w:val="-2"/>
          <w:sz w:val="30"/>
          <w:szCs w:val="30"/>
        </w:rPr>
        <w:t>8-е место из 193 стран в Индексе развития электронного правительства (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E-Government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Development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Index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). 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На данный момент с учетом возможностей и готовности общества в Республике Беларусь внедрять электронные средства коммуникации 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 </w:t>
      </w:r>
      <w:r w:rsidRPr="00CD1E5B">
        <w:rPr>
          <w:rFonts w:ascii="Times New Roman" w:hAnsi="Times New Roman"/>
          <w:spacing w:val="-2"/>
          <w:sz w:val="30"/>
          <w:szCs w:val="30"/>
        </w:rPr>
        <w:t xml:space="preserve">е-демократия может применять различные технологии, направленные на </w:t>
      </w:r>
      <w:r w:rsidRPr="00CD1E5B">
        <w:rPr>
          <w:rFonts w:ascii="Times New Roman" w:hAnsi="Times New Roman"/>
          <w:spacing w:val="-2"/>
          <w:sz w:val="30"/>
          <w:szCs w:val="30"/>
        </w:rPr>
        <w:lastRenderedPageBreak/>
        <w:t xml:space="preserve">повышение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транспарентности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(прозрачности) политического процесса, на активизацию и участие граждан в процессах принятия политических решений, включая </w:t>
      </w:r>
      <w:proofErr w:type="spellStart"/>
      <w:r w:rsidRPr="00CD1E5B">
        <w:rPr>
          <w:rFonts w:ascii="Times New Roman" w:hAnsi="Times New Roman"/>
          <w:spacing w:val="-2"/>
          <w:sz w:val="30"/>
          <w:szCs w:val="30"/>
        </w:rPr>
        <w:t>антикоррупционные</w:t>
      </w:r>
      <w:proofErr w:type="spellEnd"/>
      <w:r w:rsidRPr="00CD1E5B">
        <w:rPr>
          <w:rFonts w:ascii="Times New Roman" w:hAnsi="Times New Roman"/>
          <w:spacing w:val="-2"/>
          <w:sz w:val="30"/>
          <w:szCs w:val="30"/>
        </w:rPr>
        <w:t xml:space="preserve"> вопросы, на совершенствование качества формирования общественной среды путем открытия нового пространства для информации и обсуждения. Для этих целей могут использоваться самые разные инструменты, такие как е-доступ к данным, е-консультации с различными уполномоченными субъектами, 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CD1E5B">
        <w:rPr>
          <w:rFonts w:ascii="Times New Roman" w:hAnsi="Times New Roman"/>
          <w:spacing w:val="-2"/>
          <w:sz w:val="30"/>
          <w:szCs w:val="30"/>
        </w:rPr>
        <w:t>е-петиции, е-голосования, е-форумы. Эти информационные технологии имеют связь с сетью Интернет, где в свободном пространстве могут открываться и дискуссии, и голосования, и обсуждения.</w:t>
      </w:r>
    </w:p>
    <w:p w:rsidR="005F4D52" w:rsidRPr="00CD1E5B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1E5B">
        <w:rPr>
          <w:rFonts w:ascii="Times New Roman" w:hAnsi="Times New Roman"/>
          <w:spacing w:val="-2"/>
          <w:sz w:val="30"/>
          <w:szCs w:val="30"/>
        </w:rPr>
        <w:t xml:space="preserve">Таким образом, в Республике Беларусь сложилась определенная система общественных институтов, позволяющих говорить о наличии и функционировании гражданского общества как одного из элементов противодействия коррупции. </w:t>
      </w:r>
    </w:p>
    <w:p w:rsidR="005F4D52" w:rsidRPr="00EA0C57" w:rsidRDefault="005F4D52" w:rsidP="005F4D5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5F4D52" w:rsidRPr="00EA0C57" w:rsidRDefault="005F4D52" w:rsidP="005F4D52">
      <w:pPr>
        <w:pStyle w:val="2"/>
        <w:spacing w:line="280" w:lineRule="exact"/>
        <w:jc w:val="right"/>
        <w:rPr>
          <w:bCs/>
          <w:i/>
          <w:sz w:val="30"/>
          <w:szCs w:val="30"/>
          <w:lang w:val="be-BY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EA0C57">
        <w:rPr>
          <w:bCs/>
          <w:i/>
          <w:sz w:val="30"/>
          <w:szCs w:val="30"/>
        </w:rPr>
        <w:t>управление</w:t>
      </w:r>
      <w:r>
        <w:rPr>
          <w:bCs/>
          <w:i/>
          <w:sz w:val="30"/>
          <w:szCs w:val="30"/>
        </w:rPr>
        <w:t>м</w:t>
      </w:r>
      <w:r w:rsidRPr="00EA0C57">
        <w:rPr>
          <w:b/>
          <w:sz w:val="20"/>
          <w:lang w:val="be-BY"/>
        </w:rPr>
        <w:t xml:space="preserve"> </w:t>
      </w:r>
      <w:r>
        <w:rPr>
          <w:bCs/>
          <w:i/>
          <w:sz w:val="30"/>
          <w:szCs w:val="30"/>
        </w:rPr>
        <w:t xml:space="preserve">внутренних дел </w:t>
      </w:r>
      <w:r w:rsidRPr="00EA0C57">
        <w:rPr>
          <w:bCs/>
          <w:i/>
          <w:sz w:val="30"/>
          <w:szCs w:val="30"/>
        </w:rPr>
        <w:t>Могил</w:t>
      </w:r>
      <w:r>
        <w:rPr>
          <w:bCs/>
          <w:i/>
          <w:sz w:val="30"/>
          <w:szCs w:val="30"/>
        </w:rPr>
        <w:t>е</w:t>
      </w:r>
      <w:r w:rsidRPr="00EA0C57">
        <w:rPr>
          <w:bCs/>
          <w:i/>
          <w:sz w:val="30"/>
          <w:szCs w:val="30"/>
        </w:rPr>
        <w:t>вск</w:t>
      </w:r>
      <w:r>
        <w:rPr>
          <w:bCs/>
          <w:i/>
          <w:sz w:val="30"/>
          <w:szCs w:val="30"/>
        </w:rPr>
        <w:t>ого</w:t>
      </w:r>
      <w:r w:rsidRPr="00EA0C57">
        <w:rPr>
          <w:bCs/>
          <w:i/>
          <w:sz w:val="30"/>
          <w:szCs w:val="30"/>
        </w:rPr>
        <w:t xml:space="preserve"> областн</w:t>
      </w:r>
      <w:r>
        <w:rPr>
          <w:bCs/>
          <w:i/>
          <w:sz w:val="30"/>
          <w:szCs w:val="30"/>
        </w:rPr>
        <w:t>ого исполнительного комитета</w:t>
      </w:r>
    </w:p>
    <w:p w:rsidR="00D9185D" w:rsidRPr="005F4D52" w:rsidRDefault="00D9185D">
      <w:pPr>
        <w:rPr>
          <w:lang w:val="be-BY"/>
        </w:rPr>
      </w:pPr>
    </w:p>
    <w:sectPr w:rsidR="00D9185D" w:rsidRPr="005F4D52" w:rsidSect="00996B5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5F4D52"/>
    <w:rsid w:val="005F2E4F"/>
    <w:rsid w:val="005F4D52"/>
    <w:rsid w:val="00996B54"/>
    <w:rsid w:val="00D9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F4D52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F4D5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1713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2022-12-13T12:42:00Z</cp:lastPrinted>
  <dcterms:created xsi:type="dcterms:W3CDTF">2022-12-13T12:42:00Z</dcterms:created>
  <dcterms:modified xsi:type="dcterms:W3CDTF">2022-12-14T08:14:00Z</dcterms:modified>
</cp:coreProperties>
</file>