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14" w:rsidRDefault="00A25114" w:rsidP="00A25114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 НОВОВВЕДЕНИЯХ В РАБОТЕ С ЭЛЕКТРОННЫМИ ОБРАЩЕНИЯМИ ГРАЖДАН И ЮРИДИЧЕСКИХ ЛИЦ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30"/>
          <w:szCs w:val="30"/>
        </w:rPr>
      </w:pP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color w:val="000000" w:themeColor="text1"/>
          <w:sz w:val="30"/>
          <w:szCs w:val="30"/>
        </w:rPr>
        <w:t xml:space="preserve">Со 2 января 2023 года </w:t>
      </w:r>
      <w:r>
        <w:rPr>
          <w:rFonts w:ascii="Times New Roman" w:hAnsi="Times New Roman"/>
          <w:sz w:val="30"/>
          <w:szCs w:val="30"/>
        </w:rPr>
        <w:t xml:space="preserve">вступил в силу Закон Республики Беларусь                    от 28 июня 2022 г. № 176-З «Об изменении Закона Республики Беларусь «Об обращениях граждан и юридических лиц». 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Внесены изменения в порядок подачи и рассмотрения обращений.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первую очередь, </w:t>
      </w:r>
      <w:r>
        <w:rPr>
          <w:rFonts w:ascii="Times New Roman" w:hAnsi="Times New Roman"/>
          <w:b/>
          <w:sz w:val="30"/>
          <w:szCs w:val="30"/>
        </w:rPr>
        <w:t xml:space="preserve">изменения коснулись порядка подачи электронных обращений </w:t>
      </w:r>
      <w:r>
        <w:rPr>
          <w:rFonts w:ascii="Times New Roman" w:hAnsi="Times New Roman"/>
          <w:sz w:val="30"/>
          <w:szCs w:val="30"/>
        </w:rPr>
        <w:t xml:space="preserve">в государственные органы и иные государственные организации. 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настоящее время заявители должны вносить такие обращения через государственную единую (интегрированную) республиканскую информационную систему учета и обработки обращений граждан и юридических лиц.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Существовавшие ранее способы (или способ) подачи электронных обращений – размещение в специальной рубрике на официальном сайте организации в сети Интернет и (или) направление на адрес электронной почты – уже не действуют. Соответственно, направленное таким образом обращение не будет рассматриваться в рамках Закона Республики Беларусь «Об обращениях граждан и юридических лиц» (далее – Закон об обращениях). 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 учетом этого, в Законе об обращениях изменилось и само понятие «электронное обращение» – это обращение заявителя, поданное посредством системы учета и обработки обращений.</w:t>
      </w:r>
    </w:p>
    <w:p w:rsidR="00A25114" w:rsidRDefault="00A25114" w:rsidP="00A25114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b/>
          <w:sz w:val="30"/>
          <w:szCs w:val="30"/>
        </w:rPr>
        <w:t xml:space="preserve">Система учета и обработки обращений </w:t>
      </w:r>
      <w:r>
        <w:rPr>
          <w:rFonts w:ascii="Times New Roman" w:hAnsi="Times New Roman"/>
          <w:sz w:val="30"/>
          <w:szCs w:val="30"/>
        </w:rPr>
        <w:t>обеспечивает возможность подачи электронных обращений и получения результатов их рассмотрения. Для этого создан отдельный сайт (</w:t>
      </w:r>
      <w:hyperlink r:id="rId4" w:history="1">
        <w:r>
          <w:rPr>
            <w:rStyle w:val="a3"/>
            <w:rFonts w:ascii="Times New Roman" w:hAnsi="Times New Roman"/>
            <w:sz w:val="30"/>
            <w:szCs w:val="30"/>
            <w:lang w:val="en-US"/>
          </w:rPr>
          <w:t>http</w:t>
        </w:r>
        <w:r>
          <w:rPr>
            <w:rStyle w:val="a3"/>
            <w:rFonts w:ascii="Times New Roman" w:hAnsi="Times New Roman"/>
            <w:sz w:val="30"/>
            <w:szCs w:val="30"/>
          </w:rPr>
          <w:t>://</w:t>
        </w:r>
        <w:proofErr w:type="spellStart"/>
        <w:r>
          <w:rPr>
            <w:rStyle w:val="a3"/>
            <w:rFonts w:ascii="Times New Roman" w:hAnsi="Times New Roman"/>
            <w:sz w:val="30"/>
            <w:szCs w:val="30"/>
          </w:rPr>
          <w:t>обращения.бел</w:t>
        </w:r>
        <w:proofErr w:type="spellEnd"/>
      </w:hyperlink>
      <w:r>
        <w:rPr>
          <w:rFonts w:ascii="Times New Roman" w:hAnsi="Times New Roman"/>
          <w:sz w:val="30"/>
          <w:szCs w:val="30"/>
        </w:rPr>
        <w:t>), на котором заявителям необходимо пройти регистрацию с подтверждением подлинности используемых для регистрации данных.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Доступ к системе учета и обработки обращений для заявителей осуществляется бесплатно. Через свой личный кабинет заявитель сможет направить обращения в интересующий его государственный орган или организацию, а по результатам рассмотрения обращения ответ заявителю придет в личный кабинет. В то же время, если заявитель в своем электронном обращении попросит дать ему письменный ответ, то такой ответ ему будет дан в установленном порядке. 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Требования, предъявляемые к электронным обращениям граждан и юридических лиц, практически остались прежними.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Так, в соответствии со статьями 12 и 25 Закона об обращениях электронные обращения граждан должны содержать: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lastRenderedPageBreak/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 фамилию, собственное имя, отчество (если таковое имеется) либо инициалы гражданина, адрес его места жительства (места пребывания);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изложение сути обращения.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К электронным обращениям, подаваемым представителями заявителей, должны прилагаться документы в электронном виде, подтверждающие их полномочия.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Электронное обращение может быть оставлено без рассмотрения по существу, если в нем: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суть излагается посредством ссылок на интернет-ресурсы;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текст не поддается прочтению;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допускается употребление нецензурных либо оскорбительных слов или выражений. 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Внедрение системы учета и обработки обращений в работу государственных органов и организаций позволит автоматизировать процессы учета и обработки обращений, обеспечить хранение обращений и результатов их рассмотрения, а также исключить возможность злоупотребления правом на обращение со стороны заявителя –в практике имеются случаи, когда граждане направляли обращения под вымышленными именами или от имени других лиц. </w:t>
      </w: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A25114" w:rsidRDefault="00A25114" w:rsidP="00A25114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A25114" w:rsidRDefault="00A25114" w:rsidP="00A25114">
      <w:pPr>
        <w:pStyle w:val="2"/>
        <w:spacing w:line="280" w:lineRule="exact"/>
        <w:ind w:firstLine="0"/>
        <w:jc w:val="both"/>
        <w:rPr>
          <w:bCs/>
          <w:i/>
          <w:sz w:val="30"/>
          <w:szCs w:val="30"/>
        </w:rPr>
      </w:pPr>
      <w:r>
        <w:rPr>
          <w:bCs/>
          <w:i/>
          <w:sz w:val="30"/>
          <w:szCs w:val="30"/>
        </w:rPr>
        <w:tab/>
      </w:r>
      <w:r>
        <w:rPr>
          <w:bCs/>
          <w:i/>
          <w:sz w:val="30"/>
          <w:szCs w:val="30"/>
        </w:rPr>
        <w:tab/>
        <w:t xml:space="preserve">             Материал подготовлен управлением по работе с </w:t>
      </w:r>
      <w:r>
        <w:rPr>
          <w:bCs/>
          <w:i/>
          <w:sz w:val="30"/>
          <w:szCs w:val="30"/>
        </w:rPr>
        <w:tab/>
      </w:r>
      <w:r>
        <w:rPr>
          <w:bCs/>
          <w:i/>
          <w:sz w:val="30"/>
          <w:szCs w:val="30"/>
        </w:rPr>
        <w:tab/>
      </w:r>
      <w:r>
        <w:rPr>
          <w:bCs/>
          <w:i/>
          <w:sz w:val="30"/>
          <w:szCs w:val="30"/>
        </w:rPr>
        <w:tab/>
        <w:t xml:space="preserve">             обращениями граждан и юридических лиц</w:t>
      </w:r>
    </w:p>
    <w:p w:rsidR="00A25114" w:rsidRDefault="00A25114" w:rsidP="00A25114">
      <w:pPr>
        <w:pStyle w:val="2"/>
        <w:spacing w:line="280" w:lineRule="exact"/>
        <w:ind w:firstLine="0"/>
        <w:jc w:val="both"/>
        <w:rPr>
          <w:bCs/>
          <w:i/>
          <w:sz w:val="30"/>
          <w:szCs w:val="30"/>
          <w:lang w:val="be-BY"/>
        </w:rPr>
      </w:pPr>
      <w:r>
        <w:rPr>
          <w:bCs/>
          <w:i/>
          <w:sz w:val="30"/>
          <w:szCs w:val="30"/>
        </w:rPr>
        <w:tab/>
      </w:r>
      <w:r>
        <w:rPr>
          <w:bCs/>
          <w:i/>
          <w:sz w:val="30"/>
          <w:szCs w:val="30"/>
        </w:rPr>
        <w:tab/>
        <w:t xml:space="preserve">            Могилевского областного исполнительного комитета</w:t>
      </w:r>
    </w:p>
    <w:p w:rsidR="00515C41" w:rsidRDefault="00515C41" w:rsidP="00A25114">
      <w:pPr>
        <w:jc w:val="both"/>
      </w:pPr>
    </w:p>
    <w:sectPr w:rsidR="00515C41" w:rsidSect="00A251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25114"/>
    <w:rsid w:val="00515C41"/>
    <w:rsid w:val="00A2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25114"/>
    <w:rPr>
      <w:color w:val="0563C1"/>
      <w:u w:val="single"/>
    </w:rPr>
  </w:style>
  <w:style w:type="paragraph" w:styleId="2">
    <w:name w:val="Body Text Indent 2"/>
    <w:basedOn w:val="a"/>
    <w:link w:val="20"/>
    <w:semiHidden/>
    <w:unhideWhenUsed/>
    <w:rsid w:val="00A25114"/>
    <w:pPr>
      <w:spacing w:after="0" w:line="240" w:lineRule="auto"/>
      <w:ind w:right="-1"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2511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6;&#1073;&#1088;&#1072;&#1097;&#1077;&#1085;&#1080;&#1103;.&#1073;&#1077;&#108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2023-01-17T13:27:00Z</dcterms:created>
  <dcterms:modified xsi:type="dcterms:W3CDTF">2023-01-17T13:30:00Z</dcterms:modified>
</cp:coreProperties>
</file>