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1D" w:rsidRPr="009B5A8B" w:rsidRDefault="00FB1A1D" w:rsidP="00FB1A1D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B5A8B">
        <w:rPr>
          <w:rFonts w:ascii="Times New Roman" w:hAnsi="Times New Roman"/>
          <w:b/>
          <w:sz w:val="30"/>
          <w:szCs w:val="30"/>
        </w:rPr>
        <w:t xml:space="preserve">О РЕАЛИЗАЦИИ В МОГИЛЕВСКОЙ ОБЛАСТИ </w:t>
      </w:r>
    </w:p>
    <w:p w:rsidR="00FB1A1D" w:rsidRPr="009B5A8B" w:rsidRDefault="00FB1A1D" w:rsidP="00FB1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B5A8B">
        <w:rPr>
          <w:rFonts w:ascii="Times New Roman" w:hAnsi="Times New Roman"/>
          <w:b/>
          <w:sz w:val="30"/>
          <w:szCs w:val="30"/>
        </w:rPr>
        <w:t>ЦЕЛЕЙ УСТОЙЧИВОГО РАЗВИТИЯ</w:t>
      </w:r>
    </w:p>
    <w:p w:rsidR="00FB1A1D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Могилевская область проводит последовательную работу в направлении достижения Целей устойчивого развития (далее – ЦУР).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26 сентября 2019 г. утверждена Концепция Стратегии устойчивого развития Могилевской области на период до 2035 года.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31 декабря 2020 г. утверждена Стратегия устойчивого развития Могилевской области на период до 2035 года (далее – Стратегия) (предварительно Стратегия одобрена решением Президиума Могилевского областного Совета депутатов от 23 ноября 2020 г. № 8-10).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ЦУР имплементированы в Стратегию, а также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коррелируются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с региональными комплексами мер по выполнению государственных программ (далее – программы). 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В Могилевской области сформирована и эффективно функционирует архитектура по достижению ЦУР. Под руководством заместителя председателя Могилевского областного исполнительного комитета создана областная рабочая группа по устойчивому развитию, в состав которой входят 32 представителя облисполкома, государственных организаций, бизнеса и некоммерческих организаций. 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Выстроенная система по достижению ЦУР доказала свою эффективность. 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Для достижения желаемого уровня развития Могилевской области к 2035 году определены следующие приоритеты: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сохранение благоприятной окружающей среды и рациональное использование природных ресурсов; 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цифровизация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и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экологизация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экономики, развитие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бизнес-среды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>, повышение эффективности реального сектора экономики в целях планомерного роста доходов населения;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обеспечение достойного качества жизни населения, достижение социального благополучия и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инклюзивности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развития;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повышение конкурентоспособности и устойчивости развития сельских территорий и малых городов;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внедрение принципов «зеленого» градостроительства и устойчивого потребления;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обеспечение доступного образования, ориентированного на устойчивое развитие будущих поколений;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обеспечение общественного участия для устойчивого развития.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Инструментом достижения данных приоритетов являются программы, в том числе в сферах демографической безопасности, социального обеспечения, образования, устойчивого использования природных ресурсов, энергосбережения, инновационного развития. 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Финансирование реализации программ и, как следствие, достижение ЦУР осуществляется за счет средств областного бюджета, </w:t>
      </w:r>
      <w:r w:rsidRPr="009B5A8B">
        <w:rPr>
          <w:rFonts w:ascii="Times New Roman" w:hAnsi="Times New Roman"/>
          <w:spacing w:val="-2"/>
          <w:sz w:val="30"/>
          <w:szCs w:val="30"/>
        </w:rPr>
        <w:lastRenderedPageBreak/>
        <w:t xml:space="preserve">местных бюджетов, иных источников. На выполнение положений Стратегии направляется более 80 процентов бюджетных ассигнований. 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Стратегия предусматривает 3 этапа ее реализации.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Первый этап «Ориентация на будущие поколения» – с даты утверждения Стратегии по 2023 год. Основная цель этапа – внедрение Стратегии в действующую систему планирования в качестве основного документа стратегического развития области.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Второй этап «Десятилетие перехода к устойчивому развитию» – 2024–2030 гг. В течение этого периода будут осуществляться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экологизация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и цифровая трансформация производств и сфер жизнедеятельности, развитие интеллектуальной экономики и сферы услуг, внедрение социальных инноваций, культурное преобразование общества и повышение имиджа сельских территорий для жизни. 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Третий этап «Обеспечение устойчивости процессов развития Могилевской области» – 2031–2035 гг. Основная цель – закрепление достигнутых темпов устойчивого развития Могилевской области, усиление позиционирования и интеграции области в межгосударственные процессы как части Республики Беларусь. 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В настоящее время в соответствии с ежегодными планами, утвержденными председателем облисполкома, осуществляется Первый этап Стратегии.</w:t>
      </w:r>
    </w:p>
    <w:p w:rsidR="00FB1A1D" w:rsidRPr="00013723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proofErr w:type="spellStart"/>
      <w:r w:rsidRPr="00013723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013723">
        <w:rPr>
          <w:rFonts w:ascii="Times New Roman" w:hAnsi="Times New Roman"/>
          <w:b/>
          <w:i/>
          <w:spacing w:val="-2"/>
          <w:sz w:val="30"/>
          <w:szCs w:val="30"/>
        </w:rPr>
        <w:t>:</w:t>
      </w:r>
    </w:p>
    <w:p w:rsidR="00FB1A1D" w:rsidRPr="00013723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013723">
        <w:rPr>
          <w:rFonts w:ascii="Times New Roman" w:hAnsi="Times New Roman"/>
          <w:i/>
          <w:spacing w:val="-2"/>
          <w:sz w:val="30"/>
          <w:szCs w:val="30"/>
        </w:rPr>
        <w:t>План работы в области устойчивого развития на 2022 год, утвержден председателем Могилевского облисполкома А.М.Исаченко               6 января 2022 г.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На первом этапе основное внимание было уделено формированию понимания процессов устойчивого развития местной властью и общественностью, выстроена система пошаговых действий в работе по достижению Целей устойчивого развития.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Для разъяснения основных положений областной Стратегии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горрайисполкомами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проведен ряд встреч с активом городов и районов, с  трудовыми коллективами. 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Большая работа проведена в сфере образования: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 в обучающие программы учащихся высших и средних учебных заведений включены вопросы по достижению в Могилевской области ЦУР, внедрению и реализации Стратегии; 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на базе Могилевского государственного университета имени А.А.Кулешова создана региональная академия устойчивого развития;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на уровне школьного образования также реализован ряд мер: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Могилевским государственным областным институтом развития образования постоянно проводится работа по повышению квалификации преподавателей, в содержание программ которых включены лекции по популяризации идей устойчивого развития;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lastRenderedPageBreak/>
        <w:t>в области функционируют 25 опорных центров организации образовательных практик устойчивого развития Могилевской области;</w:t>
      </w:r>
    </w:p>
    <w:p w:rsidR="00FB1A1D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организована работа со школьниками. 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b/>
          <w:spacing w:val="-2"/>
          <w:sz w:val="30"/>
          <w:szCs w:val="30"/>
        </w:rPr>
        <w:t>П</w:t>
      </w:r>
      <w:r w:rsidRPr="00013723">
        <w:rPr>
          <w:rFonts w:ascii="Times New Roman" w:hAnsi="Times New Roman"/>
          <w:b/>
          <w:spacing w:val="-2"/>
          <w:sz w:val="30"/>
          <w:szCs w:val="30"/>
        </w:rPr>
        <w:t>ример</w:t>
      </w:r>
      <w:r>
        <w:rPr>
          <w:rFonts w:ascii="Times New Roman" w:hAnsi="Times New Roman"/>
          <w:b/>
          <w:spacing w:val="-2"/>
          <w:sz w:val="30"/>
          <w:szCs w:val="30"/>
        </w:rPr>
        <w:t>:</w:t>
      </w:r>
      <w:r w:rsidRPr="009B5A8B">
        <w:rPr>
          <w:rFonts w:ascii="Times New Roman" w:hAnsi="Times New Roman"/>
          <w:spacing w:val="-2"/>
          <w:sz w:val="30"/>
          <w:szCs w:val="30"/>
        </w:rPr>
        <w:t xml:space="preserve"> учащиеся ГУО «СШ №3 г. Осиповичи» </w:t>
      </w:r>
      <w:r>
        <w:rPr>
          <w:rFonts w:ascii="Times New Roman" w:hAnsi="Times New Roman"/>
          <w:spacing w:val="-2"/>
          <w:sz w:val="30"/>
          <w:szCs w:val="30"/>
        </w:rPr>
        <w:t>исследуют</w:t>
      </w:r>
      <w:r w:rsidRPr="009B5A8B">
        <w:rPr>
          <w:rFonts w:ascii="Times New Roman" w:hAnsi="Times New Roman"/>
          <w:spacing w:val="-2"/>
          <w:sz w:val="30"/>
          <w:szCs w:val="30"/>
        </w:rPr>
        <w:t xml:space="preserve"> возможности и перспективы внедрения принципов циркулярной экономики на территории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Осиповичского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района; разработали проекты реконструкции городского парка 50-летия Октября «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ПаркАП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>» (южная сторона города Осиповичи); участвуют в программе «Защита окружающей среды, устойчивое развитие и благополучие людей»;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в текущем году к работе с учащимися школ и учреждений профессионального образования подключились государственные организации Могилевской области. Так, РУП «Могилевский центр стандартизации, метрологии и сертификации» организованы четыре встречи со школьниками и студентами учебных заведений г.Могилева на тему: «Роль стандартов в достижении Целей устойчивого развития» (средние школы № 25, 35, 37, УО «Белорусский государственный университет пищевых и химических технологий»).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Могилевским областным комитетом общественного объединения «Белорусский республиканский союз молодёжи» ведется работа по формированию института молодежных послов Могилевской области по достижению Целей устойчивого развития.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В реализацию Стратегии вовлечены организации Могилевской области. 5 организаций Могилевской области (ИООО «ВМГ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Индустри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>», ОАО «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Моготекс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>», Могилевский комбинат противопожарных работ РГОО «Белорусское добровольное пожарное общество», ОАО «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Эковер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ПРО», ЧП «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СпецЭкоКлининг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>») подписали декларации о присоединении к достижению Целей устойчивого развития.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Организована работа по локализации ЦУР на местном уровне. В каждом регионе Могилевской области созданы рабочие группы по устойчивому развитию.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Местные стратегии устойчивого развития уже разработаны в семи регионах. Пионерами по разработке местных стратегий были Чаусский район и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Ходосовский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сельский Совет. В 2021 году районная стратегия была утверждена в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Климовичском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районе,  в 2022 году – в городе Бобруйске,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Кличевском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, Краснопольском и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Славгородском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районах. Продолжается разработка местных стратегий в  четырех регионах Могилевской области (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Дрибинский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>, Кировский, Кричевский, Мстиславский районы).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На достижение ЦУР направлен ряд местных инициатив, которые поддерживаются местными органами власти.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В 2021 году проведен областной конкурс лучших практик по реализации Стратегии устойчивого развития Могилевской области на период до 2035 года, итоги которого по 3 номинациям («Лучшая идея проекта по реализации СУР-2035»; «Лучший реализованный проект по </w:t>
      </w:r>
      <w:r w:rsidRPr="009B5A8B">
        <w:rPr>
          <w:rFonts w:ascii="Times New Roman" w:hAnsi="Times New Roman"/>
          <w:spacing w:val="-2"/>
          <w:sz w:val="30"/>
          <w:szCs w:val="30"/>
        </w:rPr>
        <w:lastRenderedPageBreak/>
        <w:t>достижению СУР-2035»; «За значительный вклад в реализацию СУР-2035») подведены 19 августа 2021 г. в рамках региональной конференции «Локализация ЦУР на региональном уровне».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Аналогичный конкурс проводится и в 2022 году. В рамках Могилевского регионального форума по устойчивому развитию 24 ноября 2022 г. состоится награждение победителей конкурса.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 xml:space="preserve">В рамках разработки плана перехода к циркулярной экономике на период до 2025 года в качестве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пилотного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предприятия для тестирования циркулярных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бизнес-моделей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определены УО "Могилевский государственный технологический колледж" и ИООО «ВМГ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Индустри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>».</w:t>
      </w:r>
    </w:p>
    <w:p w:rsidR="00FB1A1D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D202F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9D202F">
        <w:rPr>
          <w:rFonts w:ascii="Times New Roman" w:hAnsi="Times New Roman"/>
          <w:i/>
          <w:spacing w:val="-2"/>
          <w:sz w:val="30"/>
          <w:szCs w:val="30"/>
        </w:rPr>
        <w:t xml:space="preserve">: </w:t>
      </w:r>
    </w:p>
    <w:p w:rsidR="00FB1A1D" w:rsidRPr="009D202F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>
        <w:rPr>
          <w:rFonts w:ascii="Times New Roman" w:hAnsi="Times New Roman"/>
          <w:i/>
          <w:spacing w:val="-2"/>
          <w:sz w:val="30"/>
          <w:szCs w:val="30"/>
        </w:rPr>
        <w:t>П</w:t>
      </w:r>
      <w:r w:rsidRPr="009D202F">
        <w:rPr>
          <w:rFonts w:ascii="Times New Roman" w:hAnsi="Times New Roman"/>
          <w:i/>
          <w:spacing w:val="-2"/>
          <w:sz w:val="30"/>
          <w:szCs w:val="30"/>
        </w:rPr>
        <w:t>редприятием в результате реализации проекта по модернизации системы аспирации все отходы от производства мебели направлены на повторное использование в производство ДСП. Таким образом, удалось сократить выбросы загрязняющих веществ при сжигании отходов (фенол, формальдегид и др.) на 23 тонны и получить дополнительный объем сырья для производства ДСП.</w:t>
      </w:r>
    </w:p>
    <w:p w:rsidR="00FB1A1D" w:rsidRPr="009D202F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D202F">
        <w:rPr>
          <w:rFonts w:ascii="Times New Roman" w:hAnsi="Times New Roman"/>
          <w:i/>
          <w:spacing w:val="-2"/>
          <w:sz w:val="30"/>
          <w:szCs w:val="30"/>
        </w:rPr>
        <w:t>В настоящее время прорабатывается вопрос о модернизации внутренней системы канализации. Реализация данного проекта позволит образующиеся поверхностные сточные воды после предварительной очистки направлять на использование в производственных целях, а далее после комплексной очистки сбрасывать в сети коммунальной канализации. Что позволит экономить на водопотреблении и снизит риски сброса сточных вод с превышением допустимых концентраций загрязняющих веществ.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Подготовлен и представлен СМИ сводный отчет о реализации областной Стратегии в 2021 году и оценка прогресса по достижению Целевых значений индикаторов устойчивого развития Могилевской области.</w:t>
      </w:r>
    </w:p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bookmarkStart w:id="0" w:name="_Hlk104280398"/>
      <w:r w:rsidRPr="009B5A8B">
        <w:rPr>
          <w:rFonts w:ascii="Times New Roman" w:hAnsi="Times New Roman"/>
          <w:spacing w:val="-2"/>
          <w:sz w:val="30"/>
          <w:szCs w:val="30"/>
        </w:rPr>
        <w:t>Анализ отчета по выполнению положений Стратегии показывает устойчивую положительную динамику по достижению Целей  устойчивого развития в Могилевской области. Обеспечен прогресс и достигнуты высокие результаты по ЦУР 1 «Ликвидация нищеты», ЦУР 3 «Хорошее здоровье и благополучие», ЦУР 4 «Качественное образование», ЦУР 5 «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Гендерное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равенство», ЦУР 6 «Чистая вода и санитария», ЦУР 7 «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Недорогостоящая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 и чистая энергия», ЦУР 9 «Индустриализация, инновации и инфраструктура», ЦУР 11 «Устойчивые города и населенные пункты», ЦУР 13 «Борьба с изменением климата», ЦУР 16 «Мир, правосудие и эффективные институты» и ЦУР 17 «Партнерство в интересах устойчивого развития».</w:t>
      </w:r>
    </w:p>
    <w:bookmarkEnd w:id="0"/>
    <w:p w:rsidR="00FB1A1D" w:rsidRPr="009B5A8B" w:rsidRDefault="00FB1A1D" w:rsidP="00FB1A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B5A8B">
        <w:rPr>
          <w:rFonts w:ascii="Times New Roman" w:hAnsi="Times New Roman"/>
          <w:spacing w:val="-2"/>
          <w:sz w:val="30"/>
          <w:szCs w:val="30"/>
        </w:rPr>
        <w:t>В период 21-25 ноября текущего года проводится Неделя устойчивого развития Могилевской области. План основных мероприятий</w:t>
      </w:r>
      <w:r>
        <w:rPr>
          <w:rFonts w:ascii="Times New Roman" w:hAnsi="Times New Roman"/>
          <w:spacing w:val="-2"/>
          <w:sz w:val="30"/>
          <w:szCs w:val="30"/>
        </w:rPr>
        <w:t>,</w:t>
      </w:r>
      <w:r w:rsidRPr="009B5A8B">
        <w:rPr>
          <w:rFonts w:ascii="Times New Roman" w:hAnsi="Times New Roman"/>
          <w:spacing w:val="-2"/>
          <w:sz w:val="30"/>
          <w:szCs w:val="30"/>
        </w:rPr>
        <w:t xml:space="preserve"> проводимых в городах и районах области, включает около 90 мероприятий. Можно выделить ряд основных блоков это – работа с </w:t>
      </w:r>
      <w:r w:rsidRPr="009B5A8B">
        <w:rPr>
          <w:rFonts w:ascii="Times New Roman" w:hAnsi="Times New Roman"/>
          <w:spacing w:val="-2"/>
          <w:sz w:val="30"/>
          <w:szCs w:val="30"/>
        </w:rPr>
        <w:lastRenderedPageBreak/>
        <w:t>молодежью, лицами пожилого возраста, III областной Форум по устойчивому развитию</w:t>
      </w:r>
      <w:r>
        <w:rPr>
          <w:rFonts w:ascii="Times New Roman" w:hAnsi="Times New Roman"/>
          <w:spacing w:val="-2"/>
          <w:sz w:val="30"/>
          <w:szCs w:val="30"/>
        </w:rPr>
        <w:t>,</w:t>
      </w:r>
      <w:r w:rsidRPr="009B5A8B">
        <w:rPr>
          <w:rFonts w:ascii="Times New Roman" w:hAnsi="Times New Roman"/>
          <w:spacing w:val="-2"/>
          <w:sz w:val="30"/>
          <w:szCs w:val="30"/>
        </w:rPr>
        <w:t xml:space="preserve"> ряд образовательных мероприятий для разных групп населения,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стартап-школ</w:t>
      </w:r>
      <w:r>
        <w:rPr>
          <w:rFonts w:ascii="Times New Roman" w:hAnsi="Times New Roman"/>
          <w:spacing w:val="-2"/>
          <w:sz w:val="30"/>
          <w:szCs w:val="30"/>
        </w:rPr>
        <w:t>ы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 xml:space="preserve">, </w:t>
      </w:r>
      <w:proofErr w:type="spellStart"/>
      <w:r w:rsidRPr="009B5A8B">
        <w:rPr>
          <w:rFonts w:ascii="Times New Roman" w:hAnsi="Times New Roman"/>
          <w:spacing w:val="-2"/>
          <w:sz w:val="30"/>
          <w:szCs w:val="30"/>
        </w:rPr>
        <w:t>флэшмоб</w:t>
      </w:r>
      <w:r>
        <w:rPr>
          <w:rFonts w:ascii="Times New Roman" w:hAnsi="Times New Roman"/>
          <w:spacing w:val="-2"/>
          <w:sz w:val="30"/>
          <w:szCs w:val="30"/>
        </w:rPr>
        <w:t>ы</w:t>
      </w:r>
      <w:proofErr w:type="spellEnd"/>
      <w:r w:rsidRPr="009B5A8B">
        <w:rPr>
          <w:rFonts w:ascii="Times New Roman" w:hAnsi="Times New Roman"/>
          <w:spacing w:val="-2"/>
          <w:sz w:val="30"/>
          <w:szCs w:val="30"/>
        </w:rPr>
        <w:t>.</w:t>
      </w:r>
    </w:p>
    <w:p w:rsidR="00FB1A1D" w:rsidRDefault="00FB1A1D" w:rsidP="00FB1A1D">
      <w:pPr>
        <w:pStyle w:val="2"/>
        <w:spacing w:line="280" w:lineRule="exact"/>
        <w:ind w:right="0"/>
        <w:jc w:val="right"/>
        <w:rPr>
          <w:sz w:val="30"/>
          <w:szCs w:val="30"/>
        </w:rPr>
      </w:pPr>
    </w:p>
    <w:p w:rsidR="00FB1A1D" w:rsidRDefault="00FB1A1D" w:rsidP="00FB1A1D">
      <w:pPr>
        <w:pStyle w:val="2"/>
        <w:spacing w:line="280" w:lineRule="exact"/>
        <w:ind w:right="0"/>
        <w:jc w:val="right"/>
        <w:rPr>
          <w:sz w:val="30"/>
          <w:szCs w:val="30"/>
        </w:rPr>
      </w:pPr>
    </w:p>
    <w:p w:rsidR="00FB1A1D" w:rsidRDefault="00FB1A1D" w:rsidP="00FB1A1D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r>
        <w:rPr>
          <w:bCs/>
          <w:i/>
          <w:sz w:val="30"/>
          <w:szCs w:val="30"/>
        </w:rPr>
        <w:t xml:space="preserve">комитетом </w:t>
      </w:r>
    </w:p>
    <w:p w:rsidR="00FB1A1D" w:rsidRDefault="00FB1A1D" w:rsidP="00FB1A1D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 xml:space="preserve">экономики </w:t>
      </w:r>
      <w:r w:rsidRPr="00065F6B">
        <w:rPr>
          <w:bCs/>
          <w:i/>
          <w:sz w:val="30"/>
          <w:szCs w:val="30"/>
        </w:rPr>
        <w:t>Могилевск</w:t>
      </w:r>
      <w:r>
        <w:rPr>
          <w:bCs/>
          <w:i/>
          <w:sz w:val="30"/>
          <w:szCs w:val="30"/>
        </w:rPr>
        <w:t>ого</w:t>
      </w:r>
      <w:r w:rsidRPr="00065F6B">
        <w:rPr>
          <w:bCs/>
          <w:i/>
          <w:sz w:val="30"/>
          <w:szCs w:val="30"/>
        </w:rPr>
        <w:t xml:space="preserve"> обл</w:t>
      </w:r>
      <w:r>
        <w:rPr>
          <w:bCs/>
          <w:i/>
          <w:sz w:val="30"/>
          <w:szCs w:val="30"/>
        </w:rPr>
        <w:t>исполко</w:t>
      </w:r>
      <w:r w:rsidRPr="00065F6B">
        <w:rPr>
          <w:bCs/>
          <w:i/>
          <w:sz w:val="30"/>
          <w:szCs w:val="30"/>
        </w:rPr>
        <w:t>м</w:t>
      </w:r>
      <w:r>
        <w:rPr>
          <w:bCs/>
          <w:i/>
          <w:sz w:val="30"/>
          <w:szCs w:val="30"/>
        </w:rPr>
        <w:t>а</w:t>
      </w:r>
    </w:p>
    <w:p w:rsidR="00C151CC" w:rsidRDefault="00C151CC"/>
    <w:sectPr w:rsidR="00C151CC" w:rsidSect="00FB1A1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B1A1D"/>
    <w:rsid w:val="00C151CC"/>
    <w:rsid w:val="00FB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B1A1D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B1A1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8443</Characters>
  <Application>Microsoft Office Word</Application>
  <DocSecurity>0</DocSecurity>
  <Lines>70</Lines>
  <Paragraphs>19</Paragraphs>
  <ScaleCrop>false</ScaleCrop>
  <Company/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2022-11-16T12:37:00Z</dcterms:created>
  <dcterms:modified xsi:type="dcterms:W3CDTF">2022-11-16T12:38:00Z</dcterms:modified>
</cp:coreProperties>
</file>