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EA" w:rsidRPr="00626381" w:rsidRDefault="006351EA" w:rsidP="006351E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1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СОЦИАЛЬНАЯ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 xml:space="preserve"> БЕЗОПАСНОСТЬ:</w:t>
      </w:r>
    </w:p>
    <w:p w:rsidR="006351EA" w:rsidRPr="00626381" w:rsidRDefault="006351EA" w:rsidP="006351E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sz w:val="30"/>
          <w:szCs w:val="30"/>
        </w:rPr>
        <w:t>ОСНОВНЫЕ ПРИНЦИПЫ И ПРИОРИТЕТЫ</w:t>
      </w:r>
    </w:p>
    <w:p w:rsidR="006351EA" w:rsidRPr="00626381" w:rsidRDefault="006351EA" w:rsidP="006351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351EA" w:rsidRPr="00626381" w:rsidRDefault="006351EA" w:rsidP="00635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81">
        <w:rPr>
          <w:rFonts w:ascii="Times New Roman" w:hAnsi="Times New Roman" w:cs="Times New Roman"/>
          <w:i/>
          <w:iCs/>
          <w:sz w:val="24"/>
          <w:szCs w:val="24"/>
        </w:rPr>
        <w:t>Материал подготовлен Академией управления при Президенте Республики Беларусь на основе информации Министерства внутренних дел, Министерства здравоохранения, Министерства иностранных дел, Министерства образования, Министерства спорта и туризма,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24"/>
          <w:szCs w:val="24"/>
        </w:rPr>
        <w:t>Министерства труда и социальной защиты, Министерства финансов Республики Беларусь, Следственного комитета Республики Беларусь,</w:t>
      </w:r>
    </w:p>
    <w:p w:rsidR="006351EA" w:rsidRPr="00626381" w:rsidRDefault="006351EA" w:rsidP="00635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81">
        <w:rPr>
          <w:rFonts w:ascii="Times New Roman" w:hAnsi="Times New Roman" w:cs="Times New Roman"/>
          <w:i/>
          <w:iCs/>
          <w:sz w:val="24"/>
          <w:szCs w:val="24"/>
        </w:rPr>
        <w:t>Генеральной прокуратуры Республики Беларусь, Национальной академии наук Беларуси, материалов агентства «</w:t>
      </w:r>
      <w:proofErr w:type="spellStart"/>
      <w:r w:rsidRPr="00626381">
        <w:rPr>
          <w:rFonts w:ascii="Times New Roman" w:hAnsi="Times New Roman" w:cs="Times New Roman"/>
          <w:i/>
          <w:iCs/>
          <w:sz w:val="24"/>
          <w:szCs w:val="24"/>
        </w:rPr>
        <w:t>БелТА</w:t>
      </w:r>
      <w:proofErr w:type="spellEnd"/>
      <w:r w:rsidRPr="00626381">
        <w:rPr>
          <w:rFonts w:ascii="Times New Roman" w:hAnsi="Times New Roman" w:cs="Times New Roman"/>
          <w:i/>
          <w:iCs/>
          <w:sz w:val="24"/>
          <w:szCs w:val="24"/>
        </w:rPr>
        <w:t>» и газеты «</w:t>
      </w:r>
      <w:proofErr w:type="spellStart"/>
      <w:r w:rsidRPr="00626381">
        <w:rPr>
          <w:rFonts w:ascii="Times New Roman" w:hAnsi="Times New Roman" w:cs="Times New Roman"/>
          <w:i/>
          <w:iCs/>
          <w:sz w:val="24"/>
          <w:szCs w:val="24"/>
        </w:rPr>
        <w:t>СБ.Беларусь</w:t>
      </w:r>
      <w:proofErr w:type="spellEnd"/>
      <w:r w:rsidRPr="00626381">
        <w:rPr>
          <w:rFonts w:ascii="Times New Roman" w:hAnsi="Times New Roman" w:cs="Times New Roman"/>
          <w:sz w:val="24"/>
          <w:szCs w:val="24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24"/>
          <w:szCs w:val="24"/>
        </w:rPr>
        <w:t>сегодня»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2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>Несмотря на беспрецедентные вызовы времени, белорусское государство обеспечивает каждому гражданину социальные гарантии и возможности для самореализации.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Обращаясь 28 января 2022 </w:t>
      </w:r>
      <w:r w:rsidRPr="00626381">
        <w:rPr>
          <w:rFonts w:ascii="Times New Roman" w:hAnsi="Times New Roman" w:cs="Times New Roman"/>
          <w:sz w:val="30"/>
          <w:szCs w:val="30"/>
        </w:rPr>
        <w:t xml:space="preserve">г. с Посланием к белорусскому народу и Национальному собранию,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Президент Республики Беларусь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обозначил принципы социальной политики государства: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«Первый принцип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справедливость</w:t>
      </w:r>
      <w:r w:rsidRPr="00626381">
        <w:rPr>
          <w:rFonts w:ascii="Times New Roman" w:hAnsi="Times New Roman" w:cs="Times New Roman"/>
          <w:sz w:val="30"/>
          <w:szCs w:val="30"/>
        </w:rPr>
        <w:t>… Его реализация 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Второй принцип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ответственность</w:t>
      </w:r>
      <w:r w:rsidRPr="00626381">
        <w:rPr>
          <w:rFonts w:ascii="Times New Roman" w:hAnsi="Times New Roman" w:cs="Times New Roman"/>
          <w:sz w:val="30"/>
          <w:szCs w:val="30"/>
        </w:rPr>
        <w:t>. Государство последовательно выполняет обязательства перед обществом, гарантируя всестороннюю и масштабную поддержку на протяжении жизни человека.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Третий принцип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забота</w:t>
      </w:r>
      <w:r w:rsidRPr="00626381">
        <w:rPr>
          <w:rFonts w:ascii="Times New Roman" w:hAnsi="Times New Roman" w:cs="Times New Roman"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3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1.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Глобальные вызовы и новые реалии мирового развития в социальной сфере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В XXI веке человечество переживает период глубоких потрясений.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Реальной угрозой является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нарастание демографического дисбаланса и усиление общемирового тренда старения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. По опубликованным в апреле 2023 </w:t>
      </w:r>
      <w:r w:rsidRPr="00626381">
        <w:rPr>
          <w:rFonts w:ascii="Times New Roman" w:hAnsi="Times New Roman" w:cs="Times New Roman"/>
          <w:sz w:val="30"/>
          <w:szCs w:val="30"/>
        </w:rPr>
        <w:t>г. данным ООН, «чело</w:t>
      </w:r>
      <w:r>
        <w:rPr>
          <w:rFonts w:ascii="Times New Roman" w:hAnsi="Times New Roman" w:cs="Times New Roman"/>
          <w:sz w:val="30"/>
          <w:szCs w:val="30"/>
        </w:rPr>
        <w:t xml:space="preserve">вечество достигло численности в 8 млрд. К 2050 году на Земле будут жить 9,7 млрд чел., а после 2070 </w:t>
      </w:r>
      <w:r w:rsidRPr="00626381">
        <w:rPr>
          <w:rFonts w:ascii="Times New Roman" w:hAnsi="Times New Roman" w:cs="Times New Roman"/>
          <w:sz w:val="30"/>
          <w:szCs w:val="30"/>
        </w:rPr>
        <w:t>года количество населения, скорее всего, начнет падать».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Наиболее быстро прирастает население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Африки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– сегодня там проживает порядка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1,3 млрд чел. Предполагается, что к концу столетия на этом конти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ненте население достигнет почти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4 млрд чел. (фактически половина современного человечества). При этом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по некоторым прогнозам, через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70 лет население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Китая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(сегодня в КНР проживает 1,4 млрд чел.) может сократиться до 800 млн чел.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прогнозам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World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Population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Revive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 xml:space="preserve">, к 2050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году количество жителей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Литвы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сократится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на 22,1 %,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Латвии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– на 21,6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Эстонии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lastRenderedPageBreak/>
        <w:t xml:space="preserve">на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12,7 %; предполагаетс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я, что в Латвии будет проживать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1,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5 млн чел., а в Литве и Эстонии – соответственно 2,1 млн и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1,2 млн чел.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0F580A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 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Н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егативный демографический тренд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умен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>ьшение количества детей в семье.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мнению демографов, население перестает воспроизводиться при сумма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рном коэффициенте рождаемости в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 xml:space="preserve">2,15 условного ребенка на одну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женщину фертильного возраста (с 19 до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45 лет).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Если в начале 1950-х гг. на каждую женщину в мире в среднем приходилось пять детей, то к концу 2020-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х гг.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– ожидается порядка двух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0F01F0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 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Как отмечают исследователи,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 xml:space="preserve">мы живем в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эпоху имущественного расслоения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массовой концентрации богатства и беспрецедентного неравенства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626381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0 % самых богатых людей владеют 76 </w:t>
      </w:r>
      <w:r w:rsidRPr="00626381">
        <w:rPr>
          <w:rFonts w:ascii="Times New Roman" w:hAnsi="Times New Roman" w:cs="Times New Roman"/>
          <w:sz w:val="30"/>
          <w:szCs w:val="30"/>
        </w:rPr>
        <w:t>% всего богатства, в то время как беднейшие</w:t>
      </w:r>
      <w:r>
        <w:rPr>
          <w:rFonts w:ascii="Times New Roman" w:hAnsi="Times New Roman" w:cs="Times New Roman"/>
          <w:sz w:val="30"/>
          <w:szCs w:val="30"/>
        </w:rPr>
        <w:t xml:space="preserve"> – всего 2 </w:t>
      </w:r>
      <w:r w:rsidRPr="00626381">
        <w:rPr>
          <w:rFonts w:ascii="Times New Roman" w:hAnsi="Times New Roman" w:cs="Times New Roman"/>
          <w:sz w:val="30"/>
          <w:szCs w:val="30"/>
        </w:rPr>
        <w:t>%. Половина населения мира живет в странах, где правительствам приходится тратить больше на погашение долгов, чем они могут потратить на образование или здравоохранение.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Например, согласно данным Федерального статистического управления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Германии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в прошлом году почти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2,2 млн дете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й и молодых людей в возрасте до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18 лет ока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зались за чертой бедности (14,8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 молодежи).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6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Продолжают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сокращаться производственный потенциал мирового сельского хозяйства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и компенсационные возможности природной среды.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сведениям американского Центра стратегических и международных 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сследований, «в середине 2020-х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гг. мир может поразить волна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засухи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, вызывая глобальный продовольственный и миграционный кризисы».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данным ООН, к 2050 году во многих странах мира произойдет существенное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сокращение урожайности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климатическим причинам.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Уже сегодня более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3 млрд жителей планеты не могут позволить себе здоровое питание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Согласно опубликованным в июле 2023 </w:t>
      </w:r>
      <w:r w:rsidRPr="00626381">
        <w:rPr>
          <w:rFonts w:ascii="Times New Roman" w:hAnsi="Times New Roman" w:cs="Times New Roman"/>
          <w:sz w:val="30"/>
          <w:szCs w:val="30"/>
        </w:rPr>
        <w:t xml:space="preserve">г. данным ООН,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с 2019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года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из-за пандемии, экстремальных погодных явлений и вооруженных конфликтов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число г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олодающих в мире увеличилось на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122 млн чел.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7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Беспрецедентная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пандемия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b/>
          <w:bCs/>
          <w:sz w:val="30"/>
          <w:szCs w:val="30"/>
        </w:rPr>
        <w:t>коронавирусной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инфекции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не только выявила критические проблемы в системах здравоохранения и социальной защиты, но и оказала неблагоприятное воздействие на развитие мировой экономики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(снижение объемов производства, ограничение свободного движения товаров и рабочей силы)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lastRenderedPageBreak/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8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Следствием глобальных вызовов является обострение социальных противоречий на европейском и других континентах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В сентябре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Греции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проходила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24-часовая забастовка и м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ассовые акции протеста (причина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 резкое ужесточение трудового законодательства: продолжительност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ь рабочего дня может достигнуть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13 часов, а рабочая неделя будет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длиться до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78 часов; при этом работодатель получает возможность увольнять сотрудников безо всяких о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бъяснений и обязательств); в г.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Варшаве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бюджетники вышли на «марш гнева» против канцелярии премьер-министра с требованием повышения зарплат;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Великобритании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около 20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работников железной дороги устроили забастовк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у (с лета прошлого года это уже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24-я забастовка транспортников) и др.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В последние годы во многих странах Европы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кризис доступного жилья сокращает доходы семей, углубляет неравенство, вредит здоровью детей, обедняет молодежь, приводит к росту бездомности.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оценкам Европейской федерации национальных организаций, работающих с бездомными (FEANTSA),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число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бездомных в Европ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е выросло до рекордных значений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– практически 1 млн чел.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Хуже всего ситуация сложилась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ФРГ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– там в 2022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году было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зарегистрировано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262,6 тыс.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людей без крова.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Испании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за тот же год – чуть более 28,5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чел.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Ирландии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число бездомных составило 11,6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чел.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Глобальные вызовы и угрозы учтены в проекте новой редакции Концепции национальной безопасности Республики Беларусь. В указанном документе особое внимание уделяется социальной безопасности.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Социальная безопасность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состояние защищенности личности, общества и государства от воздействия социальных угроз, обеспечивающее сохранение жизни, здоровья и благосостояния граждан, духовно-нравственных ценностей белорусского народа.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CB58A3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 9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Pr="0062638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626381">
        <w:rPr>
          <w:rFonts w:ascii="Times New Roman" w:hAnsi="Times New Roman" w:cs="Times New Roman"/>
          <w:sz w:val="30"/>
          <w:szCs w:val="30"/>
        </w:rPr>
        <w:t xml:space="preserve"> социальной сфере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основными национальными интересами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удовлетворение ключевых социальных потребностей граждан, минимизация негативных последствий социальной дифференциации и социальной напряженности в обществе;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обеспечение общественной безопасности и безопасности жизнедеятельности населения, снижение уровня преступности и криминализации общества;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устойчивость рынка труда, минимизация безработицы и достойный уровень оплаты труда;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lastRenderedPageBreak/>
        <w:t>развитие интеллектуального и духовно-нравственного потенциала общества, укрепление патриотизма.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 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10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2. Республика Беларусь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демократическое социальное правовое государство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В нашей стране реализуется модель социально ориентированной рыночной экономики, доказавшей свою эффективность.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sz w:val="30"/>
          <w:szCs w:val="30"/>
        </w:rPr>
        <w:t>На финансирование отраслей социальной сферы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ежегодно направляется около 12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% ВВП.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Главная цель пятилетней програм</w:t>
      </w:r>
      <w:r>
        <w:rPr>
          <w:rFonts w:ascii="Times New Roman" w:hAnsi="Times New Roman" w:cs="Times New Roman"/>
          <w:sz w:val="30"/>
          <w:szCs w:val="30"/>
        </w:rPr>
        <w:t xml:space="preserve">мы на 2021–2025 годы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обеспечение стабильности в обществе и рост благосостояния белорусских граждан за счет модернизации экономики, наращивания социального капитала, создания комфортных условий для жизни, работы и самореализации человека. Шестое Всебелорусское народное собрание определило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актуальные приоритеты пятилетки</w:t>
      </w:r>
      <w:r w:rsidRPr="00626381">
        <w:rPr>
          <w:rFonts w:ascii="Times New Roman" w:hAnsi="Times New Roman" w:cs="Times New Roman"/>
          <w:sz w:val="30"/>
          <w:szCs w:val="30"/>
        </w:rPr>
        <w:t>: счастливая семья; сильные регионы; интеллектуальная среда; государство-партнер.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11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Бюджет 2023 года сохраняет социальную направленность и гарантирует доступность для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населения базовых социальных услуг</w:t>
      </w:r>
      <w:r w:rsidR="00C13F72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целом в Беларуси расходы консолидированного бюдже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та в 2023 году (по состоянию на 1 сентября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г.)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 финансирование социальной сферы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предусмотрены в сумме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2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7,7 млрд рублей. Это составляет 42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 расходов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бюджета.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Наиболее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бюджетоемкие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расходы консолидированного бюджета составляют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здравоохранение и образование – по 4,8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 к ВВП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(10,5 млрд рублей) каждая сфера.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При этом принципиальным является то, что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задача государства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обеспечить гражданину достойный уровень социальной защиты и поддержки, а гражданин должен быть сам ответственен за удовлетворение личных потребностей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 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12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3.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Рост реальной заработной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платы и иных доходов населения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основа благосостояния белорусских граждан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января 2023 </w:t>
      </w:r>
      <w:r w:rsidRPr="00626381">
        <w:rPr>
          <w:rFonts w:ascii="Times New Roman" w:hAnsi="Times New Roman" w:cs="Times New Roman"/>
          <w:sz w:val="30"/>
          <w:szCs w:val="30"/>
        </w:rPr>
        <w:t>г. установлены дополнительные стимулирующие выплаты отдельным категориям работников образования, физической культу</w:t>
      </w:r>
      <w:r>
        <w:rPr>
          <w:rFonts w:ascii="Times New Roman" w:hAnsi="Times New Roman" w:cs="Times New Roman"/>
          <w:sz w:val="30"/>
          <w:szCs w:val="30"/>
        </w:rPr>
        <w:t xml:space="preserve">ры и спорта, здравоохранения. С 1 сентября 2023 </w:t>
      </w:r>
      <w:r w:rsidRPr="00626381">
        <w:rPr>
          <w:rFonts w:ascii="Times New Roman" w:hAnsi="Times New Roman" w:cs="Times New Roman"/>
          <w:sz w:val="30"/>
          <w:szCs w:val="30"/>
        </w:rPr>
        <w:t>г. произведено увеличение заработной платы педагогических работников.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За январь–июль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номинальная начисленная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среднемесячная заработная плата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работников составила 1 816,9 рубля или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115 %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сравнению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с соответствующим периодом 2022 года, в том числе в июле – 1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933,1 рубля. Ее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реальный размер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за семь месяцев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 xml:space="preserve">г. по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lastRenderedPageBreak/>
        <w:t>отношению к соответствующему периоду 20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22 года составил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108,4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в июле –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114,4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Для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сравнения: за январь–июнь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реальная заработная плата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Кыргызстане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составила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114,6 %,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Армении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114,7 %,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России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– 106,8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%,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Казахстане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– 100,2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В мае и сентябре текущего года были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произведены перерасчеты трудовых пенсий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В январе–сентябре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средний размер пенсии по возрасту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(неработающего пенсионера)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составил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692,3 рубля или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118 %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к аналогичному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периоду 2022 года, в сентябре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736,6 рубля. Ее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реальный размер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 xml:space="preserve">в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январе–июле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по отношению к аналогичному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периоду прошлого года составил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112,8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в июле –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117,3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8816A0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 13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За январь–июль 2023 г. по отношению к соответствующему периоду 2022 года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реальный размер социальных выплат</w:t>
      </w:r>
      <w:r w:rsidRPr="00626381">
        <w:rPr>
          <w:rFonts w:ascii="Times New Roman" w:hAnsi="Times New Roman" w:cs="Times New Roman"/>
          <w:sz w:val="30"/>
          <w:szCs w:val="30"/>
        </w:rPr>
        <w:t>, установленных от бюджета прожиточного минимума в сред</w:t>
      </w:r>
      <w:r>
        <w:rPr>
          <w:rFonts w:ascii="Times New Roman" w:hAnsi="Times New Roman" w:cs="Times New Roman"/>
          <w:sz w:val="30"/>
          <w:szCs w:val="30"/>
        </w:rPr>
        <w:t xml:space="preserve">нем на душу населения, составил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108,1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, в июле 2023 г. –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110,2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%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Для поддержания финансового положения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малообеспеченных семей и граждан</w:t>
      </w:r>
      <w:r w:rsidRPr="00626381">
        <w:rPr>
          <w:rFonts w:ascii="Times New Roman" w:hAnsi="Times New Roman" w:cs="Times New Roman"/>
          <w:sz w:val="30"/>
          <w:szCs w:val="30"/>
        </w:rPr>
        <w:t xml:space="preserve"> реализуется программа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государственной адресной социальной помощи</w:t>
      </w:r>
      <w:r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626381">
        <w:rPr>
          <w:rFonts w:ascii="Times New Roman" w:hAnsi="Times New Roman" w:cs="Times New Roman"/>
          <w:sz w:val="30"/>
          <w:szCs w:val="30"/>
        </w:rPr>
        <w:t>– ГАСП).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2022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году получателями ГАСП стали 273,4 тыс. чел. на сумму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133,5 млн р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ублей. За первое полугодие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получателями ГАСП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стали 142,3 тыс. чел. на сумму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72,5 млн рублей.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602C53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 14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>Бесспорны</w:t>
      </w:r>
      <w:r>
        <w:rPr>
          <w:rFonts w:ascii="Times New Roman" w:hAnsi="Times New Roman" w:cs="Times New Roman"/>
          <w:sz w:val="30"/>
          <w:szCs w:val="30"/>
        </w:rPr>
        <w:t xml:space="preserve">й приоритет социальной политики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забота о ветеранах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Великой Отечественной войны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данным Минтруда и соцзащиты,</w:t>
      </w:r>
      <w:r>
        <w:rPr>
          <w:rFonts w:ascii="Times New Roman" w:hAnsi="Times New Roman" w:cs="Times New Roman"/>
          <w:sz w:val="30"/>
          <w:szCs w:val="30"/>
        </w:rPr>
        <w:t xml:space="preserve"> на </w:t>
      </w:r>
      <w:r w:rsidRPr="00626381">
        <w:rPr>
          <w:rFonts w:ascii="Times New Roman" w:hAnsi="Times New Roman" w:cs="Times New Roman"/>
          <w:sz w:val="30"/>
          <w:szCs w:val="30"/>
        </w:rPr>
        <w:t xml:space="preserve">1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июля 2023 г. в республике проживало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1,4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тыс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ветеран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ов Великой Отечественной войны,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7,3 тыс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бывших узников фашизма.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Ежегодно в республике проводится обследование материально-бытовых условий жизни ветеранов Великой Отечественной войны и граждан, пострадавших от последствий войны. С учетом выявленных потребностей им оказывается необходимая помощь. Ветеранам также предоставляются дополнительные гарантии в области пенсионного обеспечения, социальные льготы в сфере здравоохранения и санаторно-курортного лечения, по проезду, в жилищной сфере и другие.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В стране создана и эффективно работает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система социального обслуживания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(146 территориальных центров социа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льного обслуживания населения и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91 дом-интернат для престарелых и инвалидов).</w:t>
      </w:r>
      <w:r w:rsidRPr="00626381">
        <w:rPr>
          <w:rFonts w:ascii="Times New Roman" w:hAnsi="Times New Roman" w:cs="Times New Roman"/>
          <w:sz w:val="30"/>
          <w:szCs w:val="30"/>
        </w:rPr>
        <w:t xml:space="preserve"> Наиболее востребованными являются социальные услуги на дому, а также в условиях дневного пребывания в учреждении социального обслуживания. На финансирование учреждений </w:t>
      </w:r>
      <w:r w:rsidRPr="00626381">
        <w:rPr>
          <w:rFonts w:ascii="Times New Roman" w:hAnsi="Times New Roman" w:cs="Times New Roman"/>
          <w:sz w:val="30"/>
          <w:szCs w:val="30"/>
        </w:rPr>
        <w:lastRenderedPageBreak/>
        <w:t>социального обслуживания из средств местных бюджетов ежегодно выделя</w:t>
      </w:r>
      <w:r>
        <w:rPr>
          <w:rFonts w:ascii="Times New Roman" w:hAnsi="Times New Roman" w:cs="Times New Roman"/>
          <w:sz w:val="30"/>
          <w:szCs w:val="30"/>
        </w:rPr>
        <w:t xml:space="preserve">ются средства в размере порядка </w:t>
      </w:r>
      <w:r w:rsidRPr="00626381">
        <w:rPr>
          <w:rFonts w:ascii="Times New Roman" w:hAnsi="Times New Roman" w:cs="Times New Roman"/>
          <w:sz w:val="30"/>
          <w:szCs w:val="30"/>
        </w:rPr>
        <w:t>500 млн рублей.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В первом полугодии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численность пожилых граждан и инвалидов, охваченных соци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альным обслуживанием, составила 161,4 тыс. чел. (10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 от численности инвалидов I 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II группы и неработающих пожилых гра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ждан). Ежегодно, начиная с 2020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года, количество получателей социальных усл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уг увеличивается в среднем на 4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EE024C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EE024C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15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Для организации участия пожилых людей в решении вопросов, затрагивающих их интересы, в каждом регионе созданы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советы пожилых граждан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При территориальных центрах социального обслуживания населения организованы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волонтерские отряды «серебряного» возраста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Впервые в 2023 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году по инициативе Главы государства </w:t>
      </w:r>
      <w:proofErr w:type="spellStart"/>
      <w:r w:rsidR="006351EA" w:rsidRPr="006263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351EA" w:rsidRPr="00626381">
        <w:rPr>
          <w:rFonts w:ascii="Times New Roman" w:hAnsi="Times New Roman" w:cs="Times New Roman"/>
          <w:sz w:val="30"/>
          <w:szCs w:val="30"/>
        </w:rPr>
        <w:t xml:space="preserve"> прошла </w:t>
      </w:r>
      <w:r w:rsidR="006351EA" w:rsidRPr="00626381">
        <w:rPr>
          <w:rFonts w:ascii="Times New Roman" w:hAnsi="Times New Roman" w:cs="Times New Roman"/>
          <w:b/>
          <w:bCs/>
          <w:sz w:val="30"/>
          <w:szCs w:val="30"/>
        </w:rPr>
        <w:t>республиканская благотворительная акция для пожилых «От всей души»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с активным участием молодежи и школьников.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Слайд </w:t>
      </w:r>
      <w:r w:rsidRPr="00422FC9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16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>Одно из ключевых направлен</w:t>
      </w:r>
      <w:r w:rsidR="004604DC">
        <w:rPr>
          <w:rFonts w:ascii="Times New Roman" w:hAnsi="Times New Roman" w:cs="Times New Roman"/>
          <w:sz w:val="30"/>
          <w:szCs w:val="30"/>
        </w:rPr>
        <w:t xml:space="preserve">ий социальной политики Беларуси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забота об инвалидах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Инвалиды составляют 6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% от общ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ей численности населения (более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 xml:space="preserve">0,5 млн чел.), из них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почти 38 тыс.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– дети-инвалиды.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6 января 2023 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г. вступил в силу </w:t>
      </w:r>
      <w:r w:rsidR="006351EA" w:rsidRPr="00626381">
        <w:rPr>
          <w:rFonts w:ascii="Times New Roman" w:hAnsi="Times New Roman" w:cs="Times New Roman"/>
          <w:b/>
          <w:bCs/>
          <w:sz w:val="30"/>
          <w:szCs w:val="30"/>
        </w:rPr>
        <w:t>Закон «О правах инвалидов и их социальной интеграции»</w:t>
      </w:r>
      <w:r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– Закон), новации которого охватывают различные аспекты жизнедеятельности инвалидов. Значительные изменения коснулись вопроса </w:t>
      </w:r>
      <w:r w:rsidR="006351EA" w:rsidRPr="00626381">
        <w:rPr>
          <w:rFonts w:ascii="Times New Roman" w:hAnsi="Times New Roman" w:cs="Times New Roman"/>
          <w:b/>
          <w:bCs/>
          <w:sz w:val="30"/>
          <w:szCs w:val="30"/>
        </w:rPr>
        <w:t>обеспечения граждан техническими средствами социальной реабилитации</w:t>
      </w:r>
      <w:r w:rsidR="006351EA"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Ежегодно в республике такими средствам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и обеспечиваются более 220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граждан с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инвалидностью. На данные цели расходуется более 60 млн рублей.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 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17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4.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 xml:space="preserve">Обеспечение 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эффективной занятости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залог достойного уровня жизни граждан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Большинство граждан Республики Беларусь реализуют свое конституционное право на труд и платят налоги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(статьи 41,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56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Конституции Республики Беларусь)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информации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Белстата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 в эконом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ике Беларуси в июне 2023 г. было занято 4,148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млн чел.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 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lastRenderedPageBreak/>
        <w:t xml:space="preserve">В реалиях развязанной против Беларуси и ее народа гибридной войны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ставка сделана на личную инициативу и ответственность человека за свое собственное благополучие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(принцип: «как поработал, так и заработал»)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Целью социальной 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 На это направлены государственные меры по обеспечению максимально полной занятости населения.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рынок труда в стране стабилен и управляем, снижен уровень безработицы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По результатам 2022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года уровень безработицы населения в трудоспособном возрасте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составил 3,6 %, в 2021 году – 3,8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%.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Уровень безработицы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населения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т</w:t>
      </w:r>
      <w:r w:rsidR="004604DC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рудоспособном возрасте снижен с 3,7 % в первом полугодии 2022 г. до 3,4 % в первом полугодии 2023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г.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, что является естественным уровнем для нашей экономики.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Для сравнения: уровень безработицы в трудоспособном возрасте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Кыргызстане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составил 4,9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 (2022 год);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Армении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13,7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%;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Казахстане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4,8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%;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России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3,5 % (I квартал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18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proofErr w:type="gramStart"/>
      <w:r w:rsidRPr="0062638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626381">
        <w:rPr>
          <w:rFonts w:ascii="Times New Roman" w:hAnsi="Times New Roman" w:cs="Times New Roman"/>
          <w:sz w:val="30"/>
          <w:szCs w:val="30"/>
        </w:rPr>
        <w:t xml:space="preserve"> стадии реализации находится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Государственная программа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«Рынок труда и содействие занятости» на 2021–2025 годы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январе–июле 2023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в службу занятости за содействи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ем в трудоустройстве обратилось 94,9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чел., из ни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х зарегистрированы безработными 27,7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ч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ел. В трудоустройстве нуждалось 102,8 тыс. чел., из них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3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2,3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безработных. Т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рудоустроено –  79,3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чел.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sz w:val="30"/>
          <w:szCs w:val="30"/>
        </w:rPr>
        <w:t>На рынке труда страны наблюдаются положительные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тенденции, которые характеризуются устойчивым ростом спроса на рабочую силу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инфо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рмации Минтруда и соцзащиты, на 1 августа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количество вакансий, заявленных нанимателями в органы по труду, занятости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и социальной защите, составило 127,1 тыс. (по сравнению с 1 января 2023 г. выросло на 31,8 </w:t>
      </w:r>
      <w:proofErr w:type="spellStart"/>
      <w:proofErr w:type="gramStart"/>
      <w:r w:rsidR="004604DC">
        <w:rPr>
          <w:rFonts w:ascii="Times New Roman" w:hAnsi="Times New Roman" w:cs="Times New Roman"/>
          <w:i/>
          <w:iCs/>
          <w:sz w:val="30"/>
          <w:szCs w:val="30"/>
        </w:rPr>
        <w:t>тыс.или</w:t>
      </w:r>
      <w:proofErr w:type="spellEnd"/>
      <w:proofErr w:type="gramEnd"/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на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33,4 %).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В целях обеспечения занятости населения создан и эффективно осуществляет свою деятельность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Общереспубликанский банк вакансий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(внедрен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2007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году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в целях информирования граждан, нуждающихся в трудоустройстве, о наличии вакансий)</w:t>
      </w:r>
      <w:r w:rsidRPr="00626381">
        <w:rPr>
          <w:rFonts w:ascii="Times New Roman" w:hAnsi="Times New Roman" w:cs="Times New Roman"/>
          <w:sz w:val="30"/>
          <w:szCs w:val="30"/>
        </w:rPr>
        <w:t xml:space="preserve">, размещенный на портале Государственной службы занятости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(https://gsz.gov.by/).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lastRenderedPageBreak/>
        <w:t xml:space="preserve">Наибольшим спросом пользуются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специалисты рабочих профессий</w:t>
      </w:r>
      <w:r w:rsidR="004604DC">
        <w:rPr>
          <w:rFonts w:ascii="Times New Roman" w:hAnsi="Times New Roman" w:cs="Times New Roman"/>
          <w:sz w:val="30"/>
          <w:szCs w:val="30"/>
        </w:rPr>
        <w:t xml:space="preserve"> – порядка 65 </w:t>
      </w:r>
      <w:r w:rsidRPr="00626381">
        <w:rPr>
          <w:rFonts w:ascii="Times New Roman" w:hAnsi="Times New Roman" w:cs="Times New Roman"/>
          <w:sz w:val="30"/>
          <w:szCs w:val="30"/>
        </w:rPr>
        <w:t xml:space="preserve">% от общего числа вакансий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(82,1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заявленных вакансий).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обучение безработных</w:t>
      </w:r>
      <w:r w:rsidR="004604DC">
        <w:rPr>
          <w:rFonts w:ascii="Times New Roman" w:hAnsi="Times New Roman" w:cs="Times New Roman"/>
          <w:sz w:val="30"/>
          <w:szCs w:val="30"/>
        </w:rPr>
        <w:t xml:space="preserve"> осуществляется более чем по </w:t>
      </w:r>
      <w:r w:rsidRPr="00626381">
        <w:rPr>
          <w:rFonts w:ascii="Times New Roman" w:hAnsi="Times New Roman" w:cs="Times New Roman"/>
          <w:sz w:val="30"/>
          <w:szCs w:val="30"/>
        </w:rPr>
        <w:t>100 учебным программам в разрезе рабочих профессий, востр</w:t>
      </w:r>
      <w:r w:rsidR="004604DC">
        <w:rPr>
          <w:rFonts w:ascii="Times New Roman" w:hAnsi="Times New Roman" w:cs="Times New Roman"/>
          <w:sz w:val="30"/>
          <w:szCs w:val="30"/>
        </w:rPr>
        <w:t xml:space="preserve">ебованных на рынке труда. Более 80 </w:t>
      </w:r>
      <w:r w:rsidRPr="00626381">
        <w:rPr>
          <w:rFonts w:ascii="Times New Roman" w:hAnsi="Times New Roman" w:cs="Times New Roman"/>
          <w:sz w:val="30"/>
          <w:szCs w:val="30"/>
        </w:rPr>
        <w:t>% безработных обучаются «под заказ» нанимателя с гарантией последующего трудоустройства.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sz w:val="30"/>
          <w:szCs w:val="30"/>
        </w:rPr>
        <w:t>Человек должен быть заинтересован в собственном продуктивном труде</w:t>
      </w:r>
      <w:r w:rsidRPr="00626381">
        <w:rPr>
          <w:rFonts w:ascii="Times New Roman" w:hAnsi="Times New Roman" w:cs="Times New Roman"/>
          <w:sz w:val="30"/>
          <w:szCs w:val="30"/>
        </w:rPr>
        <w:t>, результаты которого стан</w:t>
      </w:r>
      <w:r w:rsidR="004604DC">
        <w:rPr>
          <w:rFonts w:ascii="Times New Roman" w:hAnsi="Times New Roman" w:cs="Times New Roman"/>
          <w:sz w:val="30"/>
          <w:szCs w:val="30"/>
        </w:rPr>
        <w:t xml:space="preserve">овятся его социальным капиталом </w:t>
      </w:r>
      <w:r w:rsidRPr="00626381">
        <w:rPr>
          <w:rFonts w:ascii="Times New Roman" w:hAnsi="Times New Roman" w:cs="Times New Roman"/>
          <w:sz w:val="30"/>
          <w:szCs w:val="30"/>
        </w:rPr>
        <w:t>– то есть залогом благополучия.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 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19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5.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Крепкая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 семья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залог стабильности нашего общества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В Беларуси традиционные семейные ценности испокон веков являются надежной основой для преодоления судьбоносных испытаний и развития общества. Именно в семье закладываются такие понятия, как любовь к Родине, верность своему долгу, честь и достоинство и др.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 крепко держать суверенитет в своих руках и гарантированно жить в мире»,</w:t>
      </w:r>
      <w:r w:rsidR="004604DC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подчеркнул белорусский лидер </w:t>
      </w:r>
      <w:proofErr w:type="spellStart"/>
      <w:r w:rsidR="004604DC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sz w:val="30"/>
          <w:szCs w:val="30"/>
        </w:rPr>
        <w:t xml:space="preserve">31 марта 2023 </w:t>
      </w:r>
      <w:r w:rsidRPr="00626381">
        <w:rPr>
          <w:rFonts w:ascii="Times New Roman" w:hAnsi="Times New Roman" w:cs="Times New Roman"/>
          <w:sz w:val="30"/>
          <w:szCs w:val="30"/>
        </w:rPr>
        <w:t>г. в Послании к белорусскому народу и Парламенту.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Следствием разрушительной западной идеологии стал отход от традиционной модели семьи в США и Европе в направлении бездетных семей, семей с родителями-одиночками и однополыми родителями.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2022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году в США насчитывалось более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1,2 млн однополых семей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(в 2008 году – 540 тыс. семей подобного рода). В 2020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году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Германии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проживали более 150 тыс.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гомосексуальных пар (в два раза больше, чем десять лет назад).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Результатом «гендерной идеологии»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стало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двукратное уменьшение в США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за последние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60 лет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численности детей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расчете на одну семью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(с 3,62 ребенка в 1960 году до 1,73 в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2018 году), что ярко свидетельствует о кризисе репродукционной функции института семьи.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В США насчитывается около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11 млн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неполных семей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. По прогнозам федерального статис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тического ведомства ФРГ, к 2040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году каждый четвертый житель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Германии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будет жить один.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Сегодня предпринимаются попытки внедрить вышеназванные «прогрессивные ценности» в сознание белорусских граждан, разрушить историческую связь поколений, создать классическое общество потребления с искаженной моралью и отсутствием нравственных </w:t>
      </w:r>
      <w:r w:rsidRPr="00626381">
        <w:rPr>
          <w:rFonts w:ascii="Times New Roman" w:hAnsi="Times New Roman" w:cs="Times New Roman"/>
          <w:sz w:val="30"/>
          <w:szCs w:val="30"/>
        </w:rPr>
        <w:lastRenderedPageBreak/>
        <w:t>принципов. По сути, нас целенаправленно подталкивают к потере национальной идентичности, разрушают основы государственности.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20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Стремление сохранить семейные ценности в их традиционном варианте, не допуская разрушения фундаментальных основ белорусского общества, получило закрепление в 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ст.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32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Конституции Республики Беларусь: «Брак как союз женщины и мужчины, семья, материнство, отцовство и детство находятся под защитой государства»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21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>Семейная политика Республики Беларусь включает в себя масштабный комплекс мер: от выплат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Только один пример. В текущем году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дважды повышены пособия семьям, во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спитывающим детей в возрасте до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3-х лет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Среднемесячный размер пособия по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уходу за ребенком в возрасте до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3 лет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в январе–сентябре 2023 г. составил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654,1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рубля или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113,4 %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сравнению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с соответствующим периодом 2022 года, в том числе в сентябре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697,9 рубля.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Реальный размер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данно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го пособия за семь месяцев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по сравн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ению с соответствующим периодом 2022 года составил </w:t>
      </w:r>
      <w:r w:rsidR="004604DC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105,8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, в июле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109,3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6351EA" w:rsidRPr="00626381" w:rsidRDefault="006351EA" w:rsidP="00C13F72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Вниманию выступающих: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вопросы комплексной системы поддержки семей рассмотрен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ы в материале к ЕДИ в июле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по тем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е «Демографическая безопасность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 основа процветания общества, главное условие развития государства»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22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Подчеркивая значимость института семьи, роли матери и отца в воспитании детей, сознании крепкой и счастливой семьи, Главой государства установлены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День семьи</w:t>
      </w:r>
      <w:r w:rsidR="004604DC">
        <w:rPr>
          <w:rFonts w:ascii="Times New Roman" w:hAnsi="Times New Roman" w:cs="Times New Roman"/>
          <w:sz w:val="30"/>
          <w:szCs w:val="30"/>
        </w:rPr>
        <w:t xml:space="preserve"> (15 </w:t>
      </w:r>
      <w:r w:rsidRPr="00626381">
        <w:rPr>
          <w:rFonts w:ascii="Times New Roman" w:hAnsi="Times New Roman" w:cs="Times New Roman"/>
          <w:sz w:val="30"/>
          <w:szCs w:val="30"/>
        </w:rPr>
        <w:t xml:space="preserve">мая),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День матери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(14 октября),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День отца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(21 октября). Празднуя День отца через неделю после Дня матери, тем самым демонстрируется значимость для белорусского государства целостности семьи и ценностные ориентиры страны.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23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Белорусскому обществу чужды навязываемые нам извне идеалы, пропагандирующие разрушение традиционных семейных ценностей.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В нашей стране семья всегда была и будет хранителем духовных и моральных ценностей, нравственных идеалов всего общества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C13F72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Согласно результатам исследова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ния, проведенного в апреле 2023 г.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 xml:space="preserve">Институтом социологии НАН Беларуси, у белорусов среди ценностей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lastRenderedPageBreak/>
        <w:t>лидирующие позиции традиционно занимают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здоровье (84,9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%)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семья (73,0 %) и дети (68,1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%)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351EA" w:rsidRPr="00C13F72" w:rsidRDefault="006351EA" w:rsidP="00C13F72">
      <w:pPr>
        <w:spacing w:after="0" w:line="240" w:lineRule="auto"/>
        <w:ind w:firstLine="566"/>
        <w:jc w:val="both"/>
        <w:rPr>
          <w:rFonts w:ascii="Times New Roman" w:hAnsi="Times New Roman" w:cs="Times New Roman"/>
          <w:b/>
          <w:bCs/>
          <w:sz w:val="30"/>
          <w:szCs w:val="30"/>
          <w:highlight w:val="green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24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6.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Ук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репление общественного здоровья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одно из главных условий сохранения нации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В Беларуси именно государство играет определяющую роль в создании условий для обеспечения продолжительной и активной жизни людей.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Ре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спублике Беларусь функционируют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15 республиканск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их научно-практических центров; 540 больничных организаций,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921 амбулатор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но-поликлиническая организация;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146 организаций санит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арно-эпидемиологической службы;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875 государственных аптек.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В стране насчитывается 66 диспансеров, оказывающих медицинскую помощь в амбулаторных и стационарных условиях.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В 2022 году введены в строй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29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объектов здравоохранения, в 20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23 году планируется к вводу еще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37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объектов</w:t>
      </w:r>
      <w:r w:rsidR="006351EA"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Развивается добровольное медицинское страхование с сохранением бюджетного финансирования здравоохранения.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мире существуют разные модели систем здравоохранения. Например,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Великобритании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преимущественно государственная;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Германии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Франции, Голландии, Австрии, Бельгии, Швейцарии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 страховая; 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США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 частная. Практически ни в одной из достаточно развитых стран указанные системы не представлены в чистом виде.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8664C6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25</w:t>
      </w:r>
      <w:r w:rsidR="004604DC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Свидетельством высокого уровня медицины в Беларуси служат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достижения здравоохранения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страны, к которым относятся: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</w:t>
      </w:r>
      <w:r w:rsidR="006351EA" w:rsidRPr="00626381">
        <w:rPr>
          <w:rFonts w:ascii="Times New Roman" w:hAnsi="Times New Roman" w:cs="Times New Roman"/>
          <w:sz w:val="30"/>
          <w:szCs w:val="30"/>
        </w:rPr>
        <w:t>%-я доступность первичной, скорой медицинской помощи;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развитие высокотехнологичной медицинской помощи;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sz w:val="30"/>
          <w:szCs w:val="30"/>
        </w:rPr>
        <w:t>практикоориентированное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образование;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законодательно закрепленный приоритет оказания медицинской помощи матерям и детям, </w:t>
      </w:r>
      <w:proofErr w:type="spellStart"/>
      <w:r w:rsidRPr="00626381">
        <w:rPr>
          <w:rFonts w:ascii="Times New Roman" w:hAnsi="Times New Roman" w:cs="Times New Roman"/>
          <w:sz w:val="30"/>
          <w:szCs w:val="30"/>
        </w:rPr>
        <w:t>разноуровневая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система ее оказания.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индексе глобальной безопасности здоровья (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Global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Health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Security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Index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 GHS)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2021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года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Беларусь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занимает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63 место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из 195 стран с индексом 43,9 балла (в 2019 году – 108 место;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35,3 балла). Для сравнения: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Кыргызстан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68,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Республика Кипр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70,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Объединенные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Арабские Эмираты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80,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Узбекистан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82,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Украина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83,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Азербайджан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100,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Монако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112,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Таджикистан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140.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8664C6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2</w:t>
      </w:r>
      <w:r w:rsidRPr="003229F9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6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Лекарственные средства допускаются к реализации и медицинскому применению на территории Республики Беларусь после их государственной регистрации либо регистрации в рамках Евразийского экономического союза. Все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лекарственные препараты проходят испытания на безопасность, эффективность и качество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По состоянию на 1 сентября 2023 г. зарегистрировано 4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355 лекарственных препаратов (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826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– отечественного производства, 2 529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– зарубежного)</w:t>
      </w:r>
      <w:r w:rsidR="006351EA"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3229F9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27</w:t>
      </w:r>
      <w:r w:rsidR="004604DC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 xml:space="preserve">Среди препаратов, выпускаемых отечественными </w:t>
      </w:r>
      <w:r w:rsidR="004604DC">
        <w:rPr>
          <w:rFonts w:ascii="Times New Roman" w:hAnsi="Times New Roman" w:cs="Times New Roman"/>
          <w:b/>
          <w:bCs/>
          <w:sz w:val="30"/>
          <w:szCs w:val="30"/>
        </w:rPr>
        <w:t xml:space="preserve">производителями,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7 являются оригинальными разработками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Эноксапарин-Белмед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 Иммуноглобулин человека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антирезус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анти-D,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Иммунофарм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Эфлейра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Алюфер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Фортека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 вакцина Гам-КОВИД-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Вак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и 3 –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b/>
          <w:bCs/>
          <w:sz w:val="30"/>
          <w:szCs w:val="30"/>
        </w:rPr>
        <w:t>биоаналогами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Адалимаб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Ринсулин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НПХ,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Ринсулин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Р)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Расширение ассортимента выпускаемых отечественными производителями препаратов способствует формированию здоровой конкуренции, снижению стоимости импортных аналогов и сокращению их доли на фармацевтическом рынке Республики Беларусь.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Отечественный аналог комбинированного жидкого антибактериального лекарственного препарата амоксициллина с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клавулановой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кислотой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Аугмеклав</w:t>
      </w:r>
      <w:proofErr w:type="spellEnd"/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 – успешно заместил более 20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 импорта за два года присутствия на рынке.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Одним из впечатляющих примеров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импортозамещения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является освоение лекарственного препарата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Хлорофиллипт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, заменившего ушедшего с рынка украинского производителя. Препарат не имеет аналогов.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Для отдельных категорий граждан предусмотрено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бесплатное и льготное обеспечение лекарственными препаратами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и перевязочными материалами.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28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="004604DC">
        <w:rPr>
          <w:rFonts w:ascii="Times New Roman" w:hAnsi="Times New Roman" w:cs="Times New Roman"/>
          <w:sz w:val="30"/>
          <w:szCs w:val="30"/>
        </w:rPr>
        <w:t xml:space="preserve">Минздравом в 2022 </w:t>
      </w:r>
      <w:r w:rsidRPr="00626381">
        <w:rPr>
          <w:rFonts w:ascii="Times New Roman" w:hAnsi="Times New Roman" w:cs="Times New Roman"/>
          <w:sz w:val="30"/>
          <w:szCs w:val="30"/>
        </w:rPr>
        <w:t xml:space="preserve">году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пересмотрены подходы к проведению диспансеризации населения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(переход от работы с хроническими пациентами к раннему выявлению факторов риска развития заболеваний у здоровых граждан)</w:t>
      </w:r>
      <w:r w:rsidRPr="00626381">
        <w:rPr>
          <w:rFonts w:ascii="Times New Roman" w:hAnsi="Times New Roman" w:cs="Times New Roman"/>
          <w:sz w:val="30"/>
          <w:szCs w:val="30"/>
        </w:rPr>
        <w:t>. Новые подходы к проведению диспансеризации позволят решить проблему выявления рисков развития неинфекционных заболеваний и раннее выявление заболеваний.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Медицинская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профилактика – ключевой элемент сохранения и укрепления здоровья населения</w:t>
      </w:r>
      <w:r w:rsidRPr="00626381">
        <w:rPr>
          <w:rFonts w:ascii="Times New Roman" w:hAnsi="Times New Roman" w:cs="Times New Roman"/>
          <w:sz w:val="30"/>
          <w:szCs w:val="30"/>
        </w:rPr>
        <w:t>. Проводится консультативная работа среди детей, подростков, взрослого населения по вопросам безопасного поведения, профилактики заболеваний и зависимостей, организуются масштабные информационно-образовательные акции культурные, спортивные и массовые мероприятия, осуществляется изготовление и демонстрация социальной рекламы.</w:t>
      </w:r>
    </w:p>
    <w:p w:rsidR="00C13F72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b/>
          <w:bCs/>
          <w:sz w:val="30"/>
          <w:szCs w:val="30"/>
          <w:highlight w:val="green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29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Для обеспечения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физкультурно-оздоровительной работы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с населением по месту житель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ства в республике функционирует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144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lastRenderedPageBreak/>
        <w:t>городских, районных физкультурно-оздоровительных, спортивных центра, физкультурно-спортивных клуба, в кот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орых создано более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2,7 тыс</w:t>
      </w:r>
      <w:r w:rsidR="004604DC"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спортивных групп и секций.</w:t>
      </w:r>
    </w:p>
    <w:p w:rsidR="006351EA" w:rsidRPr="00626381" w:rsidRDefault="004604DC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первом полугодии 2023 г. состоялось </w:t>
      </w:r>
      <w:r w:rsidR="006351EA" w:rsidRPr="00626381">
        <w:rPr>
          <w:rFonts w:ascii="Times New Roman" w:hAnsi="Times New Roman" w:cs="Times New Roman"/>
          <w:b/>
          <w:bCs/>
          <w:sz w:val="30"/>
          <w:szCs w:val="30"/>
        </w:rPr>
        <w:t>105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республиканских спортивно-массов</w:t>
      </w:r>
      <w:r>
        <w:rPr>
          <w:rFonts w:ascii="Times New Roman" w:hAnsi="Times New Roman" w:cs="Times New Roman"/>
          <w:sz w:val="30"/>
          <w:szCs w:val="30"/>
        </w:rPr>
        <w:t xml:space="preserve">ых мероприятия с участием около 35 тыс. </w:t>
      </w:r>
      <w:r w:rsidR="006351EA" w:rsidRPr="00626381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 xml:space="preserve">ел. (в том числе более 3,6 тыс. </w:t>
      </w:r>
      <w:r w:rsidR="006351EA" w:rsidRPr="00626381">
        <w:rPr>
          <w:rFonts w:ascii="Times New Roman" w:hAnsi="Times New Roman" w:cs="Times New Roman"/>
          <w:sz w:val="30"/>
          <w:szCs w:val="30"/>
        </w:rPr>
        <w:t>детей и подростков).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Среди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значимых республиканских спортивно-массовых мероприятий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: республиканские соревнования среди детей и подростков по хоккею «Золотая шайба» на призы Президента Республики Беларусь, XVI Республиканские соревнования по хоккею с шайбой среди любительских команд на призы Президентского спортивного клуба, спортивно-массовое мероприятие «Минская лыжня», республиканские соревнования среди детей и подростков по биатлону «Снежный снайпер» на призы Президентского спортивного клуба и др.</w:t>
      </w:r>
    </w:p>
    <w:p w:rsidR="006351EA" w:rsidRPr="00626381" w:rsidRDefault="006351EA" w:rsidP="00C13F72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Политика, проводимая государством по улучшению здоровья граждан и профилактике болезней, расширяет возможности для ведения здорового образа жизни. Вместе с тем 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 xml:space="preserve">забота о собственном здоровье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это личный выбор и ответственность каждого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30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 xml:space="preserve">7.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Развитие интеллектуального и духовно-нравственного потенциала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белорусского общества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Наша страна благодаря взвешенной социальной политике располагает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значительным человеческим капиталом</w:t>
      </w:r>
      <w:r w:rsidRPr="00626381">
        <w:rPr>
          <w:rFonts w:ascii="Times New Roman" w:hAnsi="Times New Roman" w:cs="Times New Roman"/>
          <w:sz w:val="30"/>
          <w:szCs w:val="30"/>
        </w:rPr>
        <w:t>. Ключевой инструмент трансформации демографического по</w:t>
      </w:r>
      <w:r w:rsidR="00C13F72">
        <w:rPr>
          <w:rFonts w:ascii="Times New Roman" w:hAnsi="Times New Roman" w:cs="Times New Roman"/>
          <w:sz w:val="30"/>
          <w:szCs w:val="30"/>
        </w:rPr>
        <w:t xml:space="preserve">тенциала в человеческий капитал </w:t>
      </w:r>
      <w:r w:rsidRPr="00626381">
        <w:rPr>
          <w:rFonts w:ascii="Times New Roman" w:hAnsi="Times New Roman" w:cs="Times New Roman"/>
          <w:sz w:val="30"/>
          <w:szCs w:val="30"/>
        </w:rPr>
        <w:t>– национальная система образования.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sz w:val="30"/>
          <w:szCs w:val="30"/>
        </w:rPr>
        <w:t>В Республике Беларусь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образование обеспечивается на всех уровнях</w:t>
      </w:r>
      <w:r w:rsidRPr="00626381">
        <w:rPr>
          <w:rFonts w:ascii="Times New Roman" w:hAnsi="Times New Roman" w:cs="Times New Roman"/>
          <w:sz w:val="30"/>
          <w:szCs w:val="30"/>
        </w:rPr>
        <w:t xml:space="preserve"> (основном, специальном и дополнительном) и является приоритетным направлением государственной политики.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C13F72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В Беларуси функционируют свыше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7 тыс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учреждений образования, в которых обу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чаются и воспитываются около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1,7 млн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чел. Обучение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и воспитание обеспечивают около 422 тыс.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работников системы образования.</w:t>
      </w:r>
    </w:p>
    <w:p w:rsidR="006351EA" w:rsidRDefault="006351EA" w:rsidP="00C13F72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31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По уровню грамотности взрослого населения и молодежи, возможностям, предоставляемым государством для получения образования, а также </w:t>
      </w:r>
      <w:r w:rsidR="00C13F72">
        <w:rPr>
          <w:rFonts w:ascii="Times New Roman" w:hAnsi="Times New Roman" w:cs="Times New Roman"/>
          <w:sz w:val="30"/>
          <w:szCs w:val="30"/>
        </w:rPr>
        <w:t xml:space="preserve">количеству студентов на 10 тыс. </w:t>
      </w:r>
      <w:r w:rsidRPr="00626381">
        <w:rPr>
          <w:rFonts w:ascii="Times New Roman" w:hAnsi="Times New Roman" w:cs="Times New Roman"/>
          <w:sz w:val="30"/>
          <w:szCs w:val="30"/>
        </w:rPr>
        <w:t xml:space="preserve">населения Беларусь относится к развитым странам: уровень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грамотности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 xml:space="preserve">взрослого населения составляет 99,7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 xml:space="preserve">%, охват базового, общим средним и профессиональным 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 xml:space="preserve">образованием занятого населения – 98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%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Беларусь по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индексу человеческого развития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(далее – ИЧР) находится на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60-й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позиции из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191,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оставаясь в группе с самым высоким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уровнем развития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и демонстрируя прогресс как по некоторым компонентам ИЧР (индекс ВВП), так и по дополнительным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индексам (индекс неравенства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и индекс гендерного равенства). Для сравнения: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Россия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(52),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Грузия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(63),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Болгария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(68),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Украина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(77),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Китай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(79),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Азербайджан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(91),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Индия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(132).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84187E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 32</w:t>
      </w:r>
      <w:r w:rsidR="00C13F72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>Важнейший элемент системы государственной поддержки интеллектуального будущего нашей стран</w:t>
      </w:r>
      <w:r w:rsidR="00C13F72">
        <w:rPr>
          <w:rFonts w:ascii="Times New Roman" w:hAnsi="Times New Roman" w:cs="Times New Roman"/>
          <w:sz w:val="30"/>
          <w:szCs w:val="30"/>
        </w:rPr>
        <w:t xml:space="preserve">ы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специальные фонды Президента Республики Беларусь по поддержке талантливой молодежи, социальной поддержке одаренных учащихся и студентов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C13F72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С 1996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года по линии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спецфонда</w:t>
      </w:r>
      <w:proofErr w:type="spellEnd"/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по поддержке талантли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вой молодежи поощрения получили 4518 граждан и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359 коллективов.</w:t>
      </w:r>
    </w:p>
    <w:p w:rsidR="006351EA" w:rsidRPr="00626381" w:rsidRDefault="00C13F72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С 1996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года фонд социальной поддержке одаренных учащихся и студе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нтов принял решения о поощрении 41 943 учащихся и студента, 4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066 педагогических и научных работников.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84187E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 33</w:t>
      </w:r>
      <w:r w:rsidR="00C13F72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>К большому сожалению, в разных регионах планеты мы продолжаем наблюдать обесценивание базовых принципов духовно-нравственного развития личности. Материальная выгода зачастую ставится выше основных моральных ценностей.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sz w:val="30"/>
          <w:szCs w:val="30"/>
        </w:rPr>
        <w:t>У белорусов честность, порядочность и доброта никогда не уживутся с жаждой наживы, алчностью и озлобленностью</w:t>
      </w:r>
      <w:r w:rsidRPr="00626381">
        <w:rPr>
          <w:rFonts w:ascii="Times New Roman" w:hAnsi="Times New Roman" w:cs="Times New Roman"/>
          <w:sz w:val="30"/>
          <w:szCs w:val="30"/>
        </w:rPr>
        <w:t>. Именно этот посыл лежит в основе развития интеллектуального и духовно-нравственного потенциала белорусского общества.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34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Вопросы совершенствования образовательной сферы находятся на особом контроле Главы государства, о чем свидетельствуют состоявшиеся </w:t>
      </w:r>
      <w:bookmarkStart w:id="0" w:name="OLE_LINK1"/>
      <w:r w:rsidR="00C13F72">
        <w:rPr>
          <w:rFonts w:ascii="Times New Roman" w:hAnsi="Times New Roman" w:cs="Times New Roman"/>
          <w:sz w:val="30"/>
          <w:szCs w:val="30"/>
        </w:rPr>
        <w:t xml:space="preserve">совещания 18 августа и </w:t>
      </w:r>
      <w:r w:rsidRPr="00626381">
        <w:rPr>
          <w:rFonts w:ascii="Times New Roman" w:hAnsi="Times New Roman" w:cs="Times New Roman"/>
          <w:sz w:val="30"/>
          <w:szCs w:val="30"/>
        </w:rPr>
        <w:t xml:space="preserve">21 сентября 2023 г. </w:t>
      </w:r>
      <w:bookmarkEnd w:id="0"/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«Школа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– это храм, и в этом весь сакральный смысл образовательного процесса»</w:t>
      </w:r>
      <w:r w:rsidR="00C13F72">
        <w:rPr>
          <w:rFonts w:ascii="Times New Roman" w:hAnsi="Times New Roman" w:cs="Times New Roman"/>
          <w:sz w:val="30"/>
          <w:szCs w:val="30"/>
        </w:rPr>
        <w:t xml:space="preserve">, </w:t>
      </w:r>
      <w:r w:rsidRPr="00626381">
        <w:rPr>
          <w:rFonts w:ascii="Times New Roman" w:hAnsi="Times New Roman" w:cs="Times New Roman"/>
          <w:sz w:val="30"/>
          <w:szCs w:val="30"/>
        </w:rPr>
        <w:t xml:space="preserve">– заявил Президент Беларуси </w:t>
      </w:r>
      <w:proofErr w:type="spellStart"/>
      <w:r w:rsidRPr="00626381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, акцентируя внимание на том, что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«должен быть железный порядок и дисциплина как в организации образовательного процесса, так и в материальном плане… Школа закладывает фундамен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т будущего не просто гражданина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– человека»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351EA" w:rsidRPr="00626381" w:rsidRDefault="006351EA" w:rsidP="00C13F72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Одна из главных задач нашего развития неизменна: сохранить наши лучшие национальные черты, наши богатейшие историко-культурные традиции.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Преданность Отечеству нужно доказывать своими поступками. Активную гражданскую позицию выражать через конкретные созидательные дела</w:t>
      </w:r>
      <w:r w:rsidRPr="00626381">
        <w:rPr>
          <w:rFonts w:ascii="Times New Roman" w:hAnsi="Times New Roman" w:cs="Times New Roman"/>
          <w:sz w:val="30"/>
          <w:szCs w:val="30"/>
        </w:rPr>
        <w:t>. При этом всегда давать нравственную самооценку своим действиям.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35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="00C13F72">
        <w:rPr>
          <w:rFonts w:ascii="Times New Roman" w:hAnsi="Times New Roman" w:cs="Times New Roman"/>
          <w:b/>
          <w:bCs/>
          <w:sz w:val="30"/>
          <w:szCs w:val="30"/>
        </w:rPr>
        <w:t xml:space="preserve">8. Обеспечение правопорядка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– важное условие общественной стабильности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На совещании об общественно-политической обстановке и </w:t>
      </w:r>
      <w:r w:rsidR="00C13F72">
        <w:rPr>
          <w:rFonts w:ascii="Times New Roman" w:hAnsi="Times New Roman" w:cs="Times New Roman"/>
          <w:sz w:val="30"/>
          <w:szCs w:val="30"/>
        </w:rPr>
        <w:t xml:space="preserve">состоянии преступности в стране 24 января 2023 г.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Глава государства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подчеркнул: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«Защита законных прав и интересов наших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людей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– это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главное</w:t>
      </w:r>
      <w:r w:rsidRPr="00626381">
        <w:rPr>
          <w:rFonts w:ascii="Times New Roman" w:hAnsi="Times New Roman" w:cs="Times New Roman"/>
          <w:sz w:val="30"/>
          <w:szCs w:val="30"/>
        </w:rPr>
        <w:t xml:space="preserve">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Мы мало внимания обращаем в последнее время на эту проблему… Пусть это по сравнению с другими государствами, даже самыми демократичными в мире, капля в море. Но, тем не менее,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 этом нельзя забывать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рейтинге уровня преступности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Crime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Index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by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i/>
          <w:iCs/>
          <w:sz w:val="30"/>
          <w:szCs w:val="30"/>
        </w:rPr>
        <w:t>Country</w:t>
      </w:r>
      <w:proofErr w:type="spellEnd"/>
      <w:r w:rsidRPr="00626381">
        <w:rPr>
          <w:rFonts w:ascii="Times New Roman" w:hAnsi="Times New Roman" w:cs="Times New Roman"/>
          <w:i/>
          <w:iCs/>
          <w:sz w:val="30"/>
          <w:szCs w:val="30"/>
        </w:rPr>
        <w:t>) по и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тогам 2022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года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Беларусь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занимает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34 место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среди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142 стран участников. Для сравнения: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Франция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36,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Казахстан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48,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США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55,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Швеция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 58,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Великобритания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65,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Украина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–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68.</w:t>
      </w:r>
    </w:p>
    <w:p w:rsidR="006351EA" w:rsidRPr="00626381" w:rsidRDefault="00C13F72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sz w:val="30"/>
          <w:szCs w:val="30"/>
        </w:rPr>
        <w:t>По и</w:t>
      </w:r>
      <w:r>
        <w:rPr>
          <w:rFonts w:ascii="Times New Roman" w:hAnsi="Times New Roman" w:cs="Times New Roman"/>
          <w:sz w:val="30"/>
          <w:szCs w:val="30"/>
        </w:rPr>
        <w:t xml:space="preserve">нформации МВД, в стране за 2021 – первую половину 2023 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г. наблюдается </w:t>
      </w:r>
      <w:r w:rsidR="006351EA" w:rsidRPr="00626381">
        <w:rPr>
          <w:rFonts w:ascii="Times New Roman" w:hAnsi="Times New Roman" w:cs="Times New Roman"/>
          <w:b/>
          <w:bCs/>
          <w:sz w:val="30"/>
          <w:szCs w:val="30"/>
        </w:rPr>
        <w:t>положительная динамика преступности и криминализации общества</w:t>
      </w:r>
      <w:r w:rsidR="006351EA"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Общее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число зарегистрированных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в первом полугодии 2023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г. преступлений отмечается ниже уровня аналогичного периода прошлого года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(далее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– АППГ)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2,7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%.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Снижение наблюдается практически во всех регионах, за иск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лючением Витебской области и г.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Минска.</w:t>
      </w:r>
    </w:p>
    <w:p w:rsidR="006351EA" w:rsidRPr="00626381" w:rsidRDefault="00C13F72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В целом по республике на 14,7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% уменьшил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ось количество особо тяжких, на 2 % менее тяжких и на 4,7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% не представляющих большой общественной опасности уголовно наказуемых деяний.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D22ED9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 36</w:t>
      </w:r>
      <w:r w:rsidR="00C13F72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>П</w:t>
      </w:r>
      <w:r w:rsidR="00C13F72">
        <w:rPr>
          <w:rFonts w:ascii="Times New Roman" w:hAnsi="Times New Roman" w:cs="Times New Roman"/>
          <w:sz w:val="30"/>
          <w:szCs w:val="30"/>
        </w:rPr>
        <w:t xml:space="preserve">о итогам первого полугодия 2023 </w:t>
      </w:r>
      <w:r w:rsidRPr="00626381">
        <w:rPr>
          <w:rFonts w:ascii="Times New Roman" w:hAnsi="Times New Roman" w:cs="Times New Roman"/>
          <w:sz w:val="30"/>
          <w:szCs w:val="30"/>
        </w:rPr>
        <w:t xml:space="preserve">г.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оперативная обстановка в подростковой среде характеризуется поступательным снижением числа совершенных преступлений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сравнении с АППГ, количество преступлений, совершенных несовершеннолетними или с их участием, уменьшилось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 8,2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%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. Данная положительная тенденция характерна практически для всех регионов, за исключением Гомельской области и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г. Минска. Отмечено снижение на 12,9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 числа совершенных подростками особо тяжких уголовно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наказуемых деяний.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D22ED9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D22ED9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37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1" w:name="_GoBack"/>
      <w:bookmarkEnd w:id="1"/>
      <w:r w:rsidRPr="00626381">
        <w:rPr>
          <w:rFonts w:ascii="Times New Roman" w:hAnsi="Times New Roman" w:cs="Times New Roman"/>
          <w:sz w:val="30"/>
          <w:szCs w:val="30"/>
        </w:rPr>
        <w:t xml:space="preserve">Особой угрозой социальной, политической, демографической, экономической, внутренней безопасности любого современного государства являются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наркомания и незаконный оборот наркотиков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Общая деградация личности в результат</w:t>
      </w:r>
      <w:r w:rsidR="00C13F72">
        <w:rPr>
          <w:rFonts w:ascii="Times New Roman" w:hAnsi="Times New Roman" w:cs="Times New Roman"/>
          <w:sz w:val="30"/>
          <w:szCs w:val="30"/>
        </w:rPr>
        <w:t xml:space="preserve">е приема наркотиков наступает в </w:t>
      </w:r>
      <w:r w:rsidRPr="00626381">
        <w:rPr>
          <w:rFonts w:ascii="Times New Roman" w:hAnsi="Times New Roman" w:cs="Times New Roman"/>
          <w:sz w:val="30"/>
          <w:szCs w:val="30"/>
        </w:rPr>
        <w:t xml:space="preserve">10–15 раз быстрее, чем от алкоголя. До среднего возраста наркоманы чаще всего не доживают, умирая от передозировки, различных сопутствующих заболеваний или заканчивая самоубийством. При этом страдают и те, кто находится с </w:t>
      </w:r>
      <w:proofErr w:type="spellStart"/>
      <w:r w:rsidRPr="00626381">
        <w:rPr>
          <w:rFonts w:ascii="Times New Roman" w:hAnsi="Times New Roman" w:cs="Times New Roman"/>
          <w:sz w:val="30"/>
          <w:szCs w:val="30"/>
        </w:rPr>
        <w:t>наркопотребителями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рядом (родственники, друзья, близкие) и ведут здоровый образ жизни.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C13F72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lastRenderedPageBreak/>
        <w:t xml:space="preserve">В 2022 году зарегистрировано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600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фактов передозировки наркотиков (19 допущено несовершеннолетними), в результате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отравления наркотиками погибло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73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человека (63 мужчины и 10 женщин). За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6 месяцев 20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23 г. –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270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фактов передозировки (1 допущен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 несовершеннолетними), погибло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34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человека (30 мужчин и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4 женщины).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По подсчетам экспертов, потребитель наркотиков в течение своей жизни вовлекает в употребление наркотических ср</w:t>
      </w:r>
      <w:r w:rsidR="00C13F72">
        <w:rPr>
          <w:rFonts w:ascii="Times New Roman" w:hAnsi="Times New Roman" w:cs="Times New Roman"/>
          <w:sz w:val="30"/>
          <w:szCs w:val="30"/>
        </w:rPr>
        <w:t xml:space="preserve">едств и психотропных веществ от </w:t>
      </w:r>
      <w:r w:rsidRPr="00626381">
        <w:rPr>
          <w:rFonts w:ascii="Times New Roman" w:hAnsi="Times New Roman" w:cs="Times New Roman"/>
          <w:sz w:val="30"/>
          <w:szCs w:val="30"/>
        </w:rPr>
        <w:t>5</w:t>
      </w:r>
      <w:r w:rsidR="00C13F72">
        <w:rPr>
          <w:rFonts w:ascii="Times New Roman" w:hAnsi="Times New Roman" w:cs="Times New Roman"/>
          <w:sz w:val="30"/>
          <w:szCs w:val="30"/>
        </w:rPr>
        <w:t xml:space="preserve"> до 17 человек. 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Наркобизнес безлик, жесток, беспринципен и беспощаден. Единственная цель тех, кто находится по ту сторону монитора компьютера или любого другого гаджета – это обогащение за счет судеб, жизней и здоровья молодых и наивных людей.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C13F72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В 2022 году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109 н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есовершеннолетних лиц совершили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141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преступление в сфере нез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аконного оборота наркотиков. За 6 месяцев 2023 г. –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40 н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есовершеннолетних лиц совершили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33 преступления. Большинство относятся к категории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особо тяжких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, а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это от 6 до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20 лет лишен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ия свободы (части 3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– 4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статьи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328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УК).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FD1E52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38</w:t>
      </w:r>
      <w:r w:rsidR="00C13F72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ОВД совместно с заинтересованными проводится работа по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вовлечению лиц, страдающих алкоголизмом, наркоманией, токсикоманией</w:t>
      </w:r>
      <w:r w:rsidRPr="00626381">
        <w:rPr>
          <w:rFonts w:ascii="Times New Roman" w:hAnsi="Times New Roman" w:cs="Times New Roman"/>
          <w:sz w:val="30"/>
          <w:szCs w:val="30"/>
        </w:rPr>
        <w:t xml:space="preserve"> и зависимостью от других </w:t>
      </w:r>
      <w:proofErr w:type="spellStart"/>
      <w:r w:rsidRPr="00626381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веществ,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в общественную жизнь</w:t>
      </w:r>
      <w:r w:rsidRPr="00626381">
        <w:rPr>
          <w:rFonts w:ascii="Times New Roman" w:hAnsi="Times New Roman" w:cs="Times New Roman"/>
          <w:sz w:val="30"/>
          <w:szCs w:val="30"/>
        </w:rPr>
        <w:t>, применению к ним мер индивидуальной профилактики, содействию в трудоустройстве и переподготовке, прохождению дальнейшей медицинской реабилитации, восстановлению необходимых документов.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C13F72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По итогам шести месяцев 2023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года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6351EA"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количество преступлений, совершенных лицами в состоянии алкогольного опьянения, уменьшилось</w:t>
      </w:r>
      <w:r w:rsidR="006351EA" w:rsidRPr="006263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(-8,0 %; с 7 723 до 7 103). Также снизился на 0,9 % (с 31,5 % до 30,6 </w:t>
      </w:r>
      <w:r w:rsidR="006351EA" w:rsidRPr="00626381">
        <w:rPr>
          <w:rFonts w:ascii="Times New Roman" w:hAnsi="Times New Roman" w:cs="Times New Roman"/>
          <w:i/>
          <w:iCs/>
          <w:sz w:val="30"/>
          <w:szCs w:val="30"/>
        </w:rPr>
        <w:t>%) удельный вес преступлений, совершенных лицами в состоянии алкогольного опьянения, от их общего числа.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</w:t>
      </w:r>
      <w:r w:rsidRPr="00FD1E52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д 39</w:t>
      </w:r>
      <w:r w:rsidR="00C13F72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Как отметил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Президент Республики Беларусь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="00C13F72">
        <w:rPr>
          <w:rFonts w:ascii="Times New Roman" w:hAnsi="Times New Roman" w:cs="Times New Roman"/>
          <w:sz w:val="30"/>
          <w:szCs w:val="30"/>
        </w:rPr>
        <w:t xml:space="preserve"> еще 29 октября 2019 </w:t>
      </w:r>
      <w:r w:rsidRPr="00626381">
        <w:rPr>
          <w:rFonts w:ascii="Times New Roman" w:hAnsi="Times New Roman" w:cs="Times New Roman"/>
          <w:sz w:val="30"/>
          <w:szCs w:val="30"/>
        </w:rPr>
        <w:t xml:space="preserve">г. на состоявшемся на совещании по вопросам противодействия распространению наркотиков и профилактике наркомании,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«самый эффективный барьер на 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пути распространения наркотиков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– это их тотальное непринятие обществом. Не будет спроса, не будет и предложений</w:t>
      </w:r>
      <w:r w:rsidRPr="00626381">
        <w:rPr>
          <w:rFonts w:ascii="Times New Roman" w:hAnsi="Times New Roman" w:cs="Times New Roman"/>
          <w:sz w:val="30"/>
          <w:szCs w:val="30"/>
        </w:rPr>
        <w:t xml:space="preserve">.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Нам этого нужно добиваться»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Слайд </w:t>
      </w:r>
      <w:r w:rsidRPr="00107529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40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Одним из основных национальных интересов в социальной сфере является минимизация уровня коррупции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В Беларуси сформирована система борьбы с коррупцией, которая соответствует базовым международным антикоррупционным стандартам.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В 2022 году в республике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зарегистрировано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328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уголовных дел о корр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упционных преступлениях, что на 26,6 % больше, чем в 2021 году (1 049). В первом полугодии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 зарегистрир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овано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638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уголовных дел о коррупционн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ых преступлениях, что составило 1,5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% от общего числа возбужденных уголовн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ых дел о всех преступлениях (41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208).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В структуре коррупционной преступности традиционно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преобладают взяточничество, хищение путем злоупотребления служебными полномочиями, злоупотребление властью или служебными полномочиями, превышение власти или служебных полномочий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i/>
          <w:iCs/>
          <w:sz w:val="30"/>
          <w:szCs w:val="30"/>
        </w:rPr>
        <w:t>Следственным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комитетом Республики Беларусь в 2021–2022 годах и первом полугодии 2023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г.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расследовано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3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370 уголовных дел о ко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ррупционных преступлениях (2021 год – 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285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дел, 2022 год – </w:t>
      </w:r>
      <w:r w:rsidR="00C13F7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710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 первое полугодие текущего года –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375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Сумма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причиненного совершением коррупционных преступлений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ущерба (вреда)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по оконченным в рассматриваемые два с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r w:rsidR="00C13F72">
        <w:rPr>
          <w:rFonts w:ascii="Times New Roman" w:hAnsi="Times New Roman" w:cs="Times New Roman"/>
          <w:i/>
          <w:iCs/>
          <w:sz w:val="30"/>
          <w:szCs w:val="30"/>
        </w:rPr>
        <w:t xml:space="preserve">половиной года делам составила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49,6 млн рублей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107529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41</w:t>
      </w:r>
      <w:r w:rsidR="00C13F72">
        <w:rPr>
          <w:rFonts w:ascii="Times New Roman" w:hAnsi="Times New Roman" w:cs="Times New Roman"/>
          <w:sz w:val="30"/>
          <w:szCs w:val="30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На протяжении последних лет в Республике Беларусь (как и во всем мире) наблюдался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рост количества регистрируемых преступлений, совершаемых с использованием информационно-коммуникационных технологий</w:t>
      </w:r>
      <w:r w:rsidR="00C13F72"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626381">
        <w:rPr>
          <w:rFonts w:ascii="Times New Roman" w:hAnsi="Times New Roman" w:cs="Times New Roman"/>
          <w:sz w:val="30"/>
          <w:szCs w:val="30"/>
        </w:rPr>
        <w:t>– ИКТ).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В нашей стране с</w:t>
      </w:r>
      <w:r w:rsidR="00C13F72">
        <w:rPr>
          <w:rFonts w:ascii="Times New Roman" w:hAnsi="Times New Roman" w:cs="Times New Roman"/>
          <w:sz w:val="30"/>
          <w:szCs w:val="30"/>
        </w:rPr>
        <w:t xml:space="preserve">итуацию удалось изменить в 2021 году, а в 2022 </w:t>
      </w:r>
      <w:r w:rsidRPr="00626381">
        <w:rPr>
          <w:rFonts w:ascii="Times New Roman" w:hAnsi="Times New Roman" w:cs="Times New Roman"/>
          <w:sz w:val="30"/>
          <w:szCs w:val="30"/>
        </w:rPr>
        <w:t xml:space="preserve">году закрепить положительную динамику снижения числа регистрируемых </w:t>
      </w:r>
      <w:proofErr w:type="spellStart"/>
      <w:r w:rsidRPr="00626381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>. Однако, по д</w:t>
      </w:r>
      <w:r w:rsidR="00C13F72">
        <w:rPr>
          <w:rFonts w:ascii="Times New Roman" w:hAnsi="Times New Roman" w:cs="Times New Roman"/>
          <w:sz w:val="30"/>
          <w:szCs w:val="30"/>
        </w:rPr>
        <w:t xml:space="preserve">анным МВД, в феврале–марте 2023 </w:t>
      </w:r>
      <w:r w:rsidRPr="00626381">
        <w:rPr>
          <w:rFonts w:ascii="Times New Roman" w:hAnsi="Times New Roman" w:cs="Times New Roman"/>
          <w:sz w:val="30"/>
          <w:szCs w:val="30"/>
        </w:rPr>
        <w:t>г., по причине так называемых «</w:t>
      </w:r>
      <w:proofErr w:type="spellStart"/>
      <w:r w:rsidRPr="00626381">
        <w:rPr>
          <w:rFonts w:ascii="Times New Roman" w:hAnsi="Times New Roman" w:cs="Times New Roman"/>
          <w:sz w:val="30"/>
          <w:szCs w:val="30"/>
        </w:rPr>
        <w:t>фишинговых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атак» </w:t>
      </w:r>
      <w:r w:rsidRPr="00626381">
        <w:rPr>
          <w:rFonts w:ascii="Times New Roman" w:hAnsi="Times New Roman" w:cs="Times New Roman"/>
          <w:i/>
          <w:iCs/>
          <w:sz w:val="30"/>
          <w:szCs w:val="30"/>
        </w:rPr>
        <w:t>(имитируют работу официальных сайтов банковских учреждений)</w:t>
      </w:r>
      <w:r w:rsidRPr="00626381">
        <w:rPr>
          <w:rFonts w:ascii="Times New Roman" w:hAnsi="Times New Roman" w:cs="Times New Roman"/>
          <w:sz w:val="30"/>
          <w:szCs w:val="30"/>
        </w:rPr>
        <w:t xml:space="preserve"> в республике произошел рост преступлений, совер</w:t>
      </w:r>
      <w:r w:rsidR="00C13F72">
        <w:rPr>
          <w:rFonts w:ascii="Times New Roman" w:hAnsi="Times New Roman" w:cs="Times New Roman"/>
          <w:sz w:val="30"/>
          <w:szCs w:val="30"/>
        </w:rPr>
        <w:t xml:space="preserve">шенных с использованием ИКТ (на 29,4 </w:t>
      </w:r>
      <w:r w:rsidRPr="00626381">
        <w:rPr>
          <w:rFonts w:ascii="Times New Roman" w:hAnsi="Times New Roman" w:cs="Times New Roman"/>
          <w:sz w:val="30"/>
          <w:szCs w:val="30"/>
        </w:rPr>
        <w:t>%).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Правоохранительными органами страны организована системная профилактическая работа по предупреждению </w:t>
      </w:r>
      <w:proofErr w:type="spellStart"/>
      <w:r w:rsidRPr="00626381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, в том числе путем повышения уровня цифровой грамотности населения через СМИ, взаимодействия с государственными органами, банками и другими субъектами хозяйствования в части обеспечения </w:t>
      </w:r>
      <w:proofErr w:type="spellStart"/>
      <w:r w:rsidRPr="00626381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Pr="00626381">
        <w:rPr>
          <w:rFonts w:ascii="Times New Roman" w:hAnsi="Times New Roman" w:cs="Times New Roman"/>
          <w:sz w:val="30"/>
          <w:szCs w:val="30"/>
        </w:rPr>
        <w:t xml:space="preserve"> государственного и частного секторов.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42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 xml:space="preserve">Таким образом, приведенные статистические данные свидетельствуют о том, что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оперативная обстановка, складывающая в Республике Беларусь, остается стабильной, а применяемая стратегия выявления криминогенных рисков и угроз общественной безопасности соответствует современным реалиям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6351EA" w:rsidRPr="00626381" w:rsidRDefault="006351EA" w:rsidP="00C13F7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>****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lastRenderedPageBreak/>
        <w:t>Слайд</w:t>
      </w:r>
      <w:r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43</w:t>
      </w:r>
      <w:r w:rsidRPr="00DC7F8D">
        <w:rPr>
          <w:rFonts w:ascii="Times New Roman" w:hAnsi="Times New Roman" w:cs="Times New Roman"/>
          <w:b/>
          <w:bCs/>
          <w:sz w:val="30"/>
          <w:szCs w:val="30"/>
          <w:highlight w:val="green"/>
        </w:rPr>
        <w:t xml:space="preserve"> </w:t>
      </w:r>
      <w:r w:rsidRPr="00626381">
        <w:rPr>
          <w:rFonts w:ascii="Times New Roman" w:hAnsi="Times New Roman" w:cs="Times New Roman"/>
          <w:sz w:val="30"/>
          <w:szCs w:val="30"/>
        </w:rPr>
        <w:t>Социально ориент</w:t>
      </w:r>
      <w:r w:rsidR="00C13F72">
        <w:rPr>
          <w:rFonts w:ascii="Times New Roman" w:hAnsi="Times New Roman" w:cs="Times New Roman"/>
          <w:sz w:val="30"/>
          <w:szCs w:val="30"/>
        </w:rPr>
        <w:t xml:space="preserve">ированная политика нашей страны </w:t>
      </w:r>
      <w:r w:rsidRPr="00626381">
        <w:rPr>
          <w:rFonts w:ascii="Times New Roman" w:hAnsi="Times New Roman" w:cs="Times New Roman"/>
          <w:sz w:val="30"/>
          <w:szCs w:val="30"/>
        </w:rPr>
        <w:t>– эталон реальной заботы о своих гражданах для многих государств.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Как подчеркнул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Глава государства</w:t>
      </w:r>
      <w:r w:rsidRPr="006263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6381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="00C13F72">
        <w:rPr>
          <w:rFonts w:ascii="Times New Roman" w:hAnsi="Times New Roman" w:cs="Times New Roman"/>
          <w:sz w:val="30"/>
          <w:szCs w:val="30"/>
        </w:rPr>
        <w:t xml:space="preserve"> 30 июня 2023 </w:t>
      </w:r>
      <w:r w:rsidRPr="00626381">
        <w:rPr>
          <w:rFonts w:ascii="Times New Roman" w:hAnsi="Times New Roman" w:cs="Times New Roman"/>
          <w:sz w:val="30"/>
          <w:szCs w:val="30"/>
        </w:rPr>
        <w:t xml:space="preserve">г. на торжественном собрании в честь Дня Независимости, </w:t>
      </w:r>
      <w:r w:rsidRPr="00626381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«Беларусь является примером отсутствия пропасти между богатыми и бедными, примером социальной защищенности всех граждан, примером здорового общества и традиционных ценностей»</w:t>
      </w:r>
      <w:r w:rsidRPr="00626381">
        <w:rPr>
          <w:rFonts w:ascii="Times New Roman" w:hAnsi="Times New Roman" w:cs="Times New Roman"/>
          <w:sz w:val="30"/>
          <w:szCs w:val="30"/>
        </w:rPr>
        <w:t>.</w:t>
      </w:r>
    </w:p>
    <w:p w:rsidR="006351EA" w:rsidRPr="00626381" w:rsidRDefault="006351EA" w:rsidP="006351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626381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626381">
        <w:rPr>
          <w:rFonts w:ascii="Times New Roman" w:hAnsi="Times New Roman" w:cs="Times New Roman"/>
          <w:b/>
          <w:bCs/>
          <w:sz w:val="30"/>
          <w:szCs w:val="30"/>
        </w:rPr>
        <w:t>ориентиром в работе с населением определен постепенный переход от патерналистской модели к поддерживающей</w:t>
      </w:r>
      <w:r w:rsidRPr="00626381">
        <w:rPr>
          <w:rFonts w:ascii="Times New Roman" w:hAnsi="Times New Roman" w:cs="Times New Roman"/>
          <w:sz w:val="30"/>
          <w:szCs w:val="30"/>
        </w:rPr>
        <w:t>, когда государство не просто берет на себя решение всех проблем человека, а создает такие условия, чтобы гражданин самостоятельно мог их решать.</w:t>
      </w:r>
    </w:p>
    <w:p w:rsidR="00B8081F" w:rsidRDefault="00B8081F"/>
    <w:sectPr w:rsidR="00B8081F" w:rsidSect="006351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68"/>
    <w:rsid w:val="004604DC"/>
    <w:rsid w:val="006351EA"/>
    <w:rsid w:val="00B8081F"/>
    <w:rsid w:val="00C13F72"/>
    <w:rsid w:val="00F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953C"/>
  <w15:chartTrackingRefBased/>
  <w15:docId w15:val="{2D8443AA-031F-4E73-AD4D-3967E2F1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51EA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5419</Words>
  <Characters>30892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2023-10-17T06:44:00Z</dcterms:created>
  <dcterms:modified xsi:type="dcterms:W3CDTF">2023-10-17T07:15:00Z</dcterms:modified>
</cp:coreProperties>
</file>