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4D45" w14:textId="7B4480BA" w:rsidR="004F53FF" w:rsidRPr="004F53FF" w:rsidRDefault="004F53FF" w:rsidP="004F53FF">
      <w:pPr>
        <w:jc w:val="center"/>
      </w:pPr>
      <w:r w:rsidRPr="004F53FF">
        <w:rPr>
          <w:rFonts w:ascii="Times New Roman" w:hAnsi="Times New Roman" w:cs="Times New Roman"/>
          <w:sz w:val="40"/>
          <w:szCs w:val="40"/>
        </w:rPr>
        <w:t>Новые правила для игорного бизнеса. Что поменялось</w:t>
      </w:r>
    </w:p>
    <w:p w14:paraId="7CB20BB5" w14:textId="16AEF36D" w:rsidR="004F53FF" w:rsidRPr="004F53FF" w:rsidRDefault="004F53FF" w:rsidP="004F53FF">
      <w:pPr>
        <w:jc w:val="center"/>
      </w:pPr>
      <w:r w:rsidRPr="004F53FF">
        <w:drawing>
          <wp:inline distT="0" distB="0" distL="0" distR="0" wp14:anchorId="7E29650C" wp14:editId="1B310A29">
            <wp:extent cx="1989455" cy="1325311"/>
            <wp:effectExtent l="0" t="0" r="0" b="8255"/>
            <wp:docPr id="2" name="Рисунок 2" descr="Новые правила для игорного бизнеса. Что поменяло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е правила для игорного бизнеса. Что поменяло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305" cy="133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80F12" w14:textId="77777777" w:rsidR="004F53FF" w:rsidRPr="004F53FF" w:rsidRDefault="004F53FF" w:rsidP="004F5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b/>
          <w:bCs/>
          <w:sz w:val="28"/>
          <w:szCs w:val="28"/>
        </w:rPr>
        <w:t>В Беларуси утвердили новое постановление по регулированию игорного бизнеса. Премьер-министр Республики Беларусь Александр Турчин подписал документ, который вводит единые правила функционирования игорного бизнеса в стране.</w:t>
      </w:r>
    </w:p>
    <w:p w14:paraId="6250CCCE" w14:textId="21D6F0AF" w:rsidR="004F53FF" w:rsidRPr="004F53FF" w:rsidRDefault="004F53FF" w:rsidP="004F5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Документ разработали во исполнение Указа Президента от июня 2025 года. Он направлен на повышение прозрачности и контроля в этой сфере.</w:t>
      </w:r>
    </w:p>
    <w:p w14:paraId="50CDE0BD" w14:textId="77777777" w:rsidR="004F53FF" w:rsidRPr="004F53FF" w:rsidRDefault="004F53FF" w:rsidP="004F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Новый нормативный акт устанавливает чёткие требования к работе:</w:t>
      </w:r>
    </w:p>
    <w:p w14:paraId="05338DB4" w14:textId="0127C366" w:rsidR="004F53FF" w:rsidRPr="004F53FF" w:rsidRDefault="004F53FF" w:rsidP="004F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— казино и залов игровых автоматов (включая порядок их технического освидетельствования);</w:t>
      </w:r>
      <w:r w:rsidRPr="004F53FF">
        <w:rPr>
          <w:rFonts w:ascii="Times New Roman" w:hAnsi="Times New Roman" w:cs="Times New Roman"/>
          <w:sz w:val="28"/>
          <w:szCs w:val="28"/>
        </w:rPr>
        <w:br/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3FF">
        <w:rPr>
          <w:rFonts w:ascii="Times New Roman" w:hAnsi="Times New Roman" w:cs="Times New Roman"/>
          <w:sz w:val="28"/>
          <w:szCs w:val="28"/>
        </w:rPr>
        <w:t>букмекерских контор и тотализаторов;</w:t>
      </w:r>
      <w:r w:rsidRPr="004F53FF">
        <w:rPr>
          <w:rFonts w:ascii="Times New Roman" w:hAnsi="Times New Roman" w:cs="Times New Roman"/>
          <w:sz w:val="28"/>
          <w:szCs w:val="28"/>
        </w:rPr>
        <w:br/>
        <w:t>— виртуальных игорных заведений.</w:t>
      </w:r>
    </w:p>
    <w:p w14:paraId="25CFDA1B" w14:textId="2C2A3A2B" w:rsidR="004F53FF" w:rsidRPr="004F53FF" w:rsidRDefault="004F53FF" w:rsidP="004F5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Особое внимание уделили контролю финансовых потоков. Для этого закрепляется функционирование специальной компьютерной кассовой системы (СККС). А также её оператора — Мониторингового центра по игорному бизнесу.</w:t>
      </w:r>
    </w:p>
    <w:p w14:paraId="31EEFBA0" w14:textId="77777777" w:rsidR="004F53FF" w:rsidRPr="004F53FF" w:rsidRDefault="004F53FF" w:rsidP="004F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Кроме того, впервые ввели Государственный реестр моделей игровых автоматов, допущенных к эксплуатации на территории Беларуси.</w:t>
      </w:r>
    </w:p>
    <w:p w14:paraId="3837FD58" w14:textId="77777777" w:rsidR="004F53FF" w:rsidRPr="004F53FF" w:rsidRDefault="004F53FF" w:rsidP="004F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Финансовые гарантии для онлайн-операторов</w:t>
      </w:r>
    </w:p>
    <w:p w14:paraId="56FEF91A" w14:textId="77777777" w:rsidR="004F53FF" w:rsidRPr="004F53FF" w:rsidRDefault="004F53FF" w:rsidP="004F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Одно из главных нововведений — обязательное открытие специального банковского счёта для обеспечения обязательств перед игроками и государством.</w:t>
      </w:r>
    </w:p>
    <w:p w14:paraId="0EA73603" w14:textId="77777777" w:rsidR="004F53FF" w:rsidRPr="004F53FF" w:rsidRDefault="004F53FF" w:rsidP="004F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— Организаторы виртуальных игорных заведений должны разместить на таком счёте 90 000 базовых величин. (На сегодняшний день — 4,05 млн рублей).</w:t>
      </w:r>
      <w:r w:rsidRPr="004F53FF">
        <w:rPr>
          <w:rFonts w:ascii="Times New Roman" w:hAnsi="Times New Roman" w:cs="Times New Roman"/>
          <w:sz w:val="28"/>
          <w:szCs w:val="28"/>
        </w:rPr>
        <w:br/>
        <w:t>— Для компаний, работающих только в сегменте онлайн-ставок (букмекерство, тотализатор), порог снизили до 20 000 базовых величин (900 тыс. рублей).</w:t>
      </w:r>
    </w:p>
    <w:p w14:paraId="3FCFC338" w14:textId="77777777" w:rsidR="004F53FF" w:rsidRPr="004F53FF" w:rsidRDefault="004F53FF" w:rsidP="004F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Средства на этом счёте предназначены исключительно для:</w:t>
      </w:r>
    </w:p>
    <w:p w14:paraId="208102AD" w14:textId="77777777" w:rsidR="004F53FF" w:rsidRPr="004F53FF" w:rsidRDefault="004F53FF" w:rsidP="004F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— гарантированной выплаты выигрышей клиентам;</w:t>
      </w:r>
      <w:r w:rsidRPr="004F53FF">
        <w:rPr>
          <w:rFonts w:ascii="Times New Roman" w:hAnsi="Times New Roman" w:cs="Times New Roman"/>
          <w:sz w:val="28"/>
          <w:szCs w:val="28"/>
        </w:rPr>
        <w:br/>
        <w:t>— своевременного перечисления налогов и других обязательных платежей.</w:t>
      </w:r>
    </w:p>
    <w:p w14:paraId="10507DB1" w14:textId="77777777" w:rsidR="004F53FF" w:rsidRPr="004F53FF" w:rsidRDefault="004F53FF" w:rsidP="004F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Также в документе уточнили правила проведения расчётов с использованием криптовалюты и порядок верификации личности посетителей игорных заведений. В том числе при онлайн-регистрации.</w:t>
      </w:r>
    </w:p>
    <w:p w14:paraId="331DCD86" w14:textId="0E0B5968" w:rsidR="00897738" w:rsidRPr="004F53FF" w:rsidRDefault="004F53FF" w:rsidP="004F5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FF">
        <w:rPr>
          <w:rFonts w:ascii="Times New Roman" w:hAnsi="Times New Roman" w:cs="Times New Roman"/>
          <w:sz w:val="28"/>
          <w:szCs w:val="28"/>
        </w:rPr>
        <w:t>Постановление вступает в силу 11 марта 2026 года.</w:t>
      </w:r>
    </w:p>
    <w:sectPr w:rsidR="00897738" w:rsidRPr="004F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4525"/>
    <w:multiLevelType w:val="multilevel"/>
    <w:tmpl w:val="DDA6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29"/>
    <w:rsid w:val="004F53FF"/>
    <w:rsid w:val="00626C29"/>
    <w:rsid w:val="0089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169A"/>
  <w15:chartTrackingRefBased/>
  <w15:docId w15:val="{C9421B10-5F23-4D35-93DA-F3717B46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3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5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324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688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808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2214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5974">
              <w:marLeft w:val="0"/>
              <w:marRight w:val="315"/>
              <w:marTop w:val="13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7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1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833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2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13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8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98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Кальчевская Наталья Григорьевна</dc:creator>
  <cp:keywords/>
  <dc:description/>
  <cp:lastModifiedBy>Кальчевская Наталья Григорьевна</cp:lastModifiedBy>
  <cp:revision>3</cp:revision>
  <dcterms:created xsi:type="dcterms:W3CDTF">2026-01-13T04:51:00Z</dcterms:created>
  <dcterms:modified xsi:type="dcterms:W3CDTF">2026-01-13T04:59:00Z</dcterms:modified>
</cp:coreProperties>
</file>